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71703" w:rsidTr="00774CA0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Default="00671703" w:rsidP="00774CA0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AÑO </w:t>
            </w:r>
            <w:r>
              <w:rPr>
                <w:rFonts w:ascii="Arial" w:hAnsi="Arial"/>
                <w:b/>
                <w:sz w:val="22"/>
                <w:szCs w:val="22"/>
              </w:rPr>
              <w:t>20</w:t>
            </w:r>
            <w:r w:rsidR="00440587">
              <w:rPr>
                <w:rFonts w:ascii="Arial" w:hAnsi="Arial"/>
                <w:b/>
                <w:sz w:val="22"/>
                <w:szCs w:val="22"/>
              </w:rPr>
              <w:t>20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Introducción al Álgebra Lineal (M104)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3E2D">
              <w:rPr>
                <w:rFonts w:ascii="Arial" w:hAnsi="Arial"/>
                <w:sz w:val="22"/>
                <w:szCs w:val="22"/>
              </w:rPr>
              <w:t>Obligatori</w:t>
            </w: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1º Semestre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Licenciatura en Ciencias Básicas con orientación en Biología, Física,</w:t>
            </w:r>
          </w:p>
          <w:p w:rsidR="00671703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Matemática y Química</w:t>
            </w:r>
          </w:p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Articulación con Instituto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Balseiro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FING y FACI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Eugenia ARTOLA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Default="00671703" w:rsidP="00774C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03" w:rsidRDefault="00671703" w:rsidP="00774C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Docente:</w:t>
            </w:r>
          </w:p>
          <w:p w:rsidR="00671703" w:rsidRPr="008F1ECF" w:rsidRDefault="00671703" w:rsidP="00774C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D54650" w:rsidRDefault="00671703" w:rsidP="00774CA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671703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671703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671703" w:rsidRPr="00D54650" w:rsidRDefault="00671703" w:rsidP="00774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671703" w:rsidRDefault="00671703" w:rsidP="00774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Iván GENTILE</w:t>
            </w:r>
          </w:p>
          <w:p w:rsidR="00671703" w:rsidRPr="00671703" w:rsidRDefault="00671703" w:rsidP="00774CA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71703">
              <w:rPr>
                <w:rFonts w:ascii="Arial" w:hAnsi="Arial" w:cs="Arial"/>
                <w:color w:val="000000" w:themeColor="text1"/>
                <w:sz w:val="22"/>
                <w:szCs w:val="22"/>
              </w:rPr>
              <w:t>Ramón CODINA</w:t>
            </w:r>
          </w:p>
          <w:p w:rsidR="00671703" w:rsidRPr="00D54650" w:rsidRDefault="00671703" w:rsidP="00774C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Ester Ivana SÁNCHEZ</w:t>
            </w:r>
          </w:p>
          <w:p w:rsidR="00671703" w:rsidRPr="004073DD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TKACZYK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671703" w:rsidRPr="00573E2D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03" w:rsidTr="00774CA0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Default="00671703" w:rsidP="00774CA0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96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 Hs </w:t>
            </w:r>
            <w:r>
              <w:rPr>
                <w:rFonts w:ascii="Arial" w:hAnsi="Arial"/>
                <w:sz w:val="22"/>
                <w:szCs w:val="22"/>
              </w:rPr>
              <w:t xml:space="preserve">(48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Prácticas, 48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Teóricas)</w:t>
            </w:r>
          </w:p>
        </w:tc>
      </w:tr>
      <w:tr w:rsidR="00671703" w:rsidTr="00774CA0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1703" w:rsidRDefault="00671703" w:rsidP="00774CA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Introducción a la Matemática (M100)</w:t>
            </w:r>
          </w:p>
        </w:tc>
      </w:tr>
    </w:tbl>
    <w:p w:rsidR="00671703" w:rsidRDefault="00671703" w:rsidP="00671703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872A85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A0344F" w:rsidRDefault="00671703" w:rsidP="00774CA0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671703" w:rsidRPr="00872A85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A6A2F">
              <w:rPr>
                <w:rFonts w:ascii="Arial" w:hAnsi="Arial" w:cs="Arial"/>
                <w:sz w:val="22"/>
                <w:szCs w:val="22"/>
                <w:lang w:val="es-ES_tradnl"/>
              </w:rPr>
              <w:t>Conocer los con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ceptos básicos del Álgebra Lineal.</w:t>
            </w:r>
          </w:p>
          <w:p w:rsidR="00671703" w:rsidRPr="009C4AF0" w:rsidRDefault="00671703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Aplicar herramientas del Álgebra Lineal para resolver problemas de diversos ámbitos de la ciencia y la tecnología. Combinar satisfactoriamente la abstracción matemática y su aplicación.</w:t>
            </w:r>
          </w:p>
        </w:tc>
      </w:tr>
    </w:tbl>
    <w:p w:rsidR="00671703" w:rsidRPr="00111FE3" w:rsidRDefault="00671703" w:rsidP="00671703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872A85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671703" w:rsidRPr="00A0344F" w:rsidRDefault="00671703" w:rsidP="00774CA0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671703" w:rsidRPr="00872A85" w:rsidTr="00774CA0">
        <w:tc>
          <w:tcPr>
            <w:tcW w:w="9356" w:type="dxa"/>
            <w:shd w:val="clear" w:color="auto" w:fill="auto"/>
          </w:tcPr>
          <w:p w:rsidR="00671703" w:rsidRPr="00202113" w:rsidRDefault="00671703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 xml:space="preserve">Sistemas de ecuaciones lineales. Matrices. Determinante. Estructura vectorial y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 de R2 y R3. Bases. Transformaciones lineales.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>. Generalización a Rn.</w:t>
            </w:r>
          </w:p>
        </w:tc>
      </w:tr>
    </w:tbl>
    <w:p w:rsidR="00671703" w:rsidRDefault="00671703" w:rsidP="00671703">
      <w:pPr>
        <w:rPr>
          <w:lang w:val="es-ES_tradnl"/>
        </w:rPr>
      </w:pPr>
    </w:p>
    <w:p w:rsidR="00671703" w:rsidRDefault="00671703" w:rsidP="0067170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Pr="00EA5F29">
              <w:rPr>
                <w:sz w:val="22"/>
                <w:szCs w:val="22"/>
                <w:lang w:val="es-ES_tradnl"/>
              </w:rPr>
              <w:t xml:space="preserve"> </w:t>
            </w:r>
            <w:r w:rsidRPr="00EA5F29">
              <w:rPr>
                <w:b w:val="0"/>
                <w:sz w:val="20"/>
                <w:szCs w:val="20"/>
                <w:lang w:val="es-ES_tradnl"/>
              </w:rPr>
              <w:t>(Defina los contenidos de cada unidad, subdividiéndolos en temas, respetando los contenidos mínimos indicados en el plan de estudio correspondiente)</w:t>
            </w:r>
          </w:p>
        </w:tc>
      </w:tr>
      <w:tr w:rsidR="007D5730" w:rsidRPr="00887F97" w:rsidTr="007E594F">
        <w:tc>
          <w:tcPr>
            <w:tcW w:w="9356" w:type="dxa"/>
            <w:shd w:val="clear" w:color="auto" w:fill="auto"/>
          </w:tcPr>
          <w:p w:rsidR="007D5730" w:rsidRDefault="007D5730" w:rsidP="007E594F">
            <w:pPr>
              <w:rPr>
                <w:rFonts w:ascii="Arial" w:hAnsi="Arial" w:cs="Arial"/>
                <w:sz w:val="22"/>
                <w:szCs w:val="22"/>
              </w:rPr>
            </w:pPr>
          </w:p>
          <w:p w:rsidR="007D5730" w:rsidRDefault="007D5730" w:rsidP="007E594F">
            <w:pPr>
              <w:rPr>
                <w:rFonts w:ascii="Arial" w:hAnsi="Arial" w:cs="Arial"/>
                <w:sz w:val="22"/>
                <w:szCs w:val="22"/>
              </w:rPr>
            </w:pPr>
          </w:p>
          <w:p w:rsidR="007D5730" w:rsidRPr="00591D19" w:rsidRDefault="007D5730" w:rsidP="007E594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Vectores geométricos del plano y del espacio </w:t>
            </w:r>
          </w:p>
          <w:p w:rsidR="007D5730" w:rsidRDefault="007D5730" w:rsidP="007E594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nula,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alineadas,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consecutivas,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iguales. Equipolencia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puntuales. Vectores fijos. Suma de vectores fijos y sus propiedades. Producto de un escalar por un vector fijo y sus propiedades. Componentes y coordenadas de un vector fijo de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>Los espacios vectoriales reales IR</w:t>
            </w:r>
            <w:r w:rsidRPr="006B2955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6B2955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Dependencia e independencia lineal.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Norma o módulo de un vector y sus propiedades. Vectores normados. Producto punto o escalar y sus propiedades. Producto escalar usual 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Vectores ortogonales. Ángulo entre vectores. Vectores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cruz o vectorial de vectores del espacio tridimensional y sus propiedades. Identidad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Lagrange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Producto mixto entre vectores del espacio tridimensional.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7D5730" w:rsidRDefault="007D5730" w:rsidP="007E594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D5730" w:rsidRPr="00591D19" w:rsidRDefault="007D5730" w:rsidP="007E594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Matrices y determinantes </w:t>
            </w:r>
          </w:p>
          <w:p w:rsidR="007D5730" w:rsidRDefault="007D5730" w:rsidP="007E594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Matrices: definición. Clasificación de matrices: triangulares, transpuesta, diagonal, escalonada, escalonada reducida, simétrica. Suma de matrices y sus propiedades. Multiplicación de matrices y sus propiedades. Producto de un escalar por una matriz. Operaciones elementales. Matrices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inversibles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 de Gauss-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determinar la inversa de una matriz. Determinantes: definición. Determinantes de orden 1, 2, 3, n.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Sarrus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Evaluación de los determinantes por reducción en los renglones. Propiedades de los determinantes. Determinación de la inversa de una matriz a través de su adjunta.</w:t>
            </w:r>
          </w:p>
          <w:p w:rsidR="007D5730" w:rsidRDefault="007D5730" w:rsidP="007E594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D5730" w:rsidRPr="00591D19" w:rsidRDefault="007D5730" w:rsidP="007E594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– Sistemas de ecuaciones lineales</w:t>
            </w:r>
          </w:p>
          <w:p w:rsidR="007D5730" w:rsidRDefault="007D5730" w:rsidP="007E594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Sistemas de ecuaciones lineales. Representación matricial de sistemas de ecuaciones lineales. Operaciones elementales entre filas. Sistemas de ecuaciones lineales homogéneos. Análisis de la solución de un sistema de ecuaciones lineales: rango de una matriz por el método de Gauss y Teorema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Rouche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Frobenius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Métodos directos de resolución de sistemas de ecuaciones lineales: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Cramer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método de eliminación de Gauss, método de eliminación de Gauss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7D5730" w:rsidRPr="00591D19" w:rsidRDefault="007D5730" w:rsidP="007E594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Pr="00591D19" w:rsidRDefault="007D5730" w:rsidP="007E594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 - Espacios vectoriales</w:t>
            </w:r>
          </w:p>
          <w:p w:rsidR="007D5730" w:rsidRDefault="007D5730" w:rsidP="007E594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Definición de Espacio Vectorial.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Subespacios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vectoriales. Dependencia e independencia lineal. Conjunto generador. Bases de un espacio vectorial.  Dimensión. Rango y sus aplicaciones para hallar bases. Cambio de bases.  Bases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Espacio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Desigualdad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Cauchy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Schwarz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Teorema de Pitágoras generalizado. Distancia entre vectores y sus propiedades. Espacio métrico.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7D5730" w:rsidRDefault="007D5730" w:rsidP="007E594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D5730" w:rsidRPr="00591D19" w:rsidRDefault="007D5730" w:rsidP="007E594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V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Transformaciones lineales </w:t>
            </w:r>
          </w:p>
          <w:p w:rsidR="007D5730" w:rsidRPr="00591D19" w:rsidRDefault="007D5730" w:rsidP="007E594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Transformaciones lineales. Núcleo e Imagen de una transformación lineal. Nulidad y rango de una transformación lineal. Teorema de la dimensión. Matriz asociada a una transformación lineal. Semejanza de matrices asociadas a una transformación lineal. Transformaciones lineales inversas.</w:t>
            </w:r>
          </w:p>
          <w:p w:rsidR="007D5730" w:rsidRDefault="007D5730" w:rsidP="007E594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Pr="00591D19" w:rsidRDefault="007D5730" w:rsidP="007E594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VI -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7D5730" w:rsidRPr="00591D19" w:rsidRDefault="007D5730" w:rsidP="007E594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Autovalores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matrices. Proyecciones ortogonales.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ortogonal, proceso de Gram –Schmidt. Matrices simétricas.</w:t>
            </w:r>
          </w:p>
          <w:p w:rsidR="007D5730" w:rsidRPr="00887F97" w:rsidRDefault="007D5730" w:rsidP="007E59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887F97" w:rsidRDefault="00671703" w:rsidP="00671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703" w:rsidRPr="00EA5F29" w:rsidRDefault="00671703" w:rsidP="0067170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 xml:space="preserve">4-BIBLIOGRAFÍA </w:t>
            </w:r>
            <w:r w:rsidRPr="00EA5F29">
              <w:rPr>
                <w:b w:val="0"/>
                <w:sz w:val="20"/>
                <w:szCs w:val="20"/>
              </w:rPr>
              <w:t>(Indique Autor/es, Título, Editorial, Edición, Año)</w:t>
            </w:r>
          </w:p>
        </w:tc>
      </w:tr>
      <w:tr w:rsidR="00671703" w:rsidRPr="00D54650" w:rsidTr="00774CA0">
        <w:tc>
          <w:tcPr>
            <w:tcW w:w="9356" w:type="dxa"/>
            <w:shd w:val="clear" w:color="auto" w:fill="auto"/>
          </w:tcPr>
          <w:p w:rsidR="007D5730" w:rsidRPr="00452871" w:rsidRDefault="007D5730" w:rsidP="007D5730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452871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7D5730" w:rsidRPr="00591D19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Lay, D., Lay, S. y McDonald, J. (2016). Algebra Lineal y sus aplicaciones. 5 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Edicion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Pearson.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Mexico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7D5730" w:rsidRPr="00591D19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y Joyner, D. (1999). Álgebra Lineal con aplicaciones. México: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7D5730" w:rsidRPr="00452871" w:rsidRDefault="007D5730" w:rsidP="007D5730">
            <w:pPr>
              <w:spacing w:before="120" w:line="200" w:lineRule="exact"/>
              <w:jc w:val="both"/>
              <w:rPr>
                <w:lang w:val="es-419"/>
              </w:rPr>
            </w:pPr>
          </w:p>
          <w:p w:rsidR="007D5730" w:rsidRDefault="007D5730" w:rsidP="007D5730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7D5730" w:rsidRPr="00591D19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7D5730" w:rsidRPr="00CA013E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Grossman, 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(2012).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</w:t>
            </w:r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 xml:space="preserve">Buenos Aires: Mc </w:t>
            </w:r>
            <w:proofErr w:type="spellStart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 xml:space="preserve"> Hill.</w:t>
            </w:r>
          </w:p>
          <w:p w:rsidR="007D5730" w:rsidRPr="00591D19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>Lipschutz</w:t>
            </w:r>
            <w:proofErr w:type="spellEnd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 xml:space="preserve">, S. (2001).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Serie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Bogotá: Mc Graw-Hill.</w:t>
            </w:r>
          </w:p>
          <w:p w:rsidR="007D5730" w:rsidRDefault="007D5730" w:rsidP="007D573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Nodaro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V;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7D5730" w:rsidRPr="00591D19" w:rsidRDefault="007D5730" w:rsidP="007D573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Rojo, A. (1995)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s-ES_tradnl"/>
              </w:rPr>
              <w:t>. Algebra II. Buenos Aires: El Ateneo.</w:t>
            </w:r>
          </w:p>
          <w:p w:rsidR="007D5730" w:rsidRPr="00591D19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(1986). Algebra Lineal y sus aplicaciones. Wilmington: Addison_ Wesley Iberoamericana</w:t>
            </w:r>
          </w:p>
          <w:p w:rsidR="007D5730" w:rsidRPr="00591D19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71703" w:rsidRPr="00452871" w:rsidRDefault="00671703" w:rsidP="00671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703" w:rsidRPr="00452871" w:rsidRDefault="00671703" w:rsidP="00671703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5416B" w:rsidRDefault="00671703" w:rsidP="00774CA0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671703" w:rsidRPr="00EA5F29" w:rsidRDefault="00671703" w:rsidP="00774CA0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Pr="00EA5F29">
              <w:t xml:space="preserve"> </w:t>
            </w:r>
            <w:r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671703" w:rsidRPr="00EA5F29" w:rsidRDefault="00671703" w:rsidP="00774CA0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671703" w:rsidRPr="00EA5F29" w:rsidTr="00774CA0">
        <w:tc>
          <w:tcPr>
            <w:tcW w:w="9356" w:type="dxa"/>
            <w:shd w:val="clear" w:color="auto" w:fill="auto"/>
          </w:tcPr>
          <w:p w:rsidR="007D5730" w:rsidRDefault="007D5730" w:rsidP="007D573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Debido a la emergencia sanitaria que estamos viviendo este año, la modalidad del cursado será totalmente virtual, para lo cual se utilizarán como recursos el Aula Virtual de la FCEN y la plataforma Moodle.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acceder a la lista de alumnos que cursarán en la materia, se implementará un </w:t>
            </w:r>
            <w:r w:rsidRPr="005F124D">
              <w:rPr>
                <w:rFonts w:ascii="Arial" w:hAnsi="Arial" w:cs="Arial"/>
                <w:sz w:val="22"/>
                <w:szCs w:val="22"/>
                <w:lang w:val="es-ES_tradnl"/>
              </w:rPr>
              <w:t>Formulario google para la preinscripción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de forma de obtener datos personales como correos electrónicos, números de celulares, etc., que beneficiarán la comunicación virtual entre ellos y los docentes de la cátedra. </w:t>
            </w:r>
          </w:p>
          <w:p w:rsidR="007D5730" w:rsidRDefault="007D5730" w:rsidP="007D573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Las clases no serán sincrónicas, debido a que no todos los alumnos poseen buena conectividad, sin embargo, para lograr un óptimo proceso de enseñanza y aprendizaje, se les facilitarán en cada semana los contenidos y actividades que deberán desarrollar, según un cronograma propuesto.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as clases teóricas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 cada unidad temática se subirán a la plataforma Moodle en diferentes formatos: PPT, videos, etc.,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el profesor desarrollará los conteni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dos establecidos en el programa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y también situaciones problemáticas que involucran ejercitación sobre los mismos.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las clases prácticas se dividirán a los alumnos en 11 (once) Comisiones que estarán a cargo de cada uno de los Profesores integrantes de la cátedra. De este modo se pretende un acercamiento más personalizado, beneficiando el aprendizaje de los alumnos. Se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desarrollarán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ejercicios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propuestos en los respectivos Trabajos Prácticos y se subirán todas las resoluciones de los mismos. 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 complementará con más ejercitación pro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puesta para que los alumnos realicen. 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Pr="00591D19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Se fomentará en los alumnos el aprendizaje y desarrollo del lenguaje matemático,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razonamiento y la resolución de problemas,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fin de adquirir las herramientas necesarias para la adquisición del pensamiento matemático, con la utilización de una adecuada bibliografía. 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Pr="00591D19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Habrá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amplia disponi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bilidad en horarios de consulta, que podrá realizarse por la plataforma Moodle,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Zoom,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asap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, etc.</w:t>
            </w:r>
          </w:p>
          <w:p w:rsidR="007D5730" w:rsidRPr="00591D19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propone realizar una Evaluación continua, para lo cual se aplicará al finalizar cada unidad temática una Evaluación escrita denominada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, consiste en la presentación de un trabajo escrito con ejercitación referida a los contenidos desarrollados en la unidad temática tratada, y que el alumno deberá enviar por correo electrónico a su docente Tutor en la fecha estipulada.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Además, se tomarán dos exámenes parciales escritos, cada una de ellos con su respectivo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 Estas evaluaciones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parciales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consistirá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 en exámenes escritos cuyos contenidos se corresponden con los abordados en las clases teóricas y prácticas hasta la fecha prevista para la evaluación.  Se realizará una reunión por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monitorear cada examen.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esas evaluaciones parciales se tomarán al finalizar el cursado de la asignatura y el alumno podrá recuperar uno o los dos exámenes parciales en la misma fecha acordada por la cátedra. Se realizará una reunión por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monitorear 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total se aplicarán cuatro (4)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cada uno valuado en 5 puntos, el puntaje de dos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(10 puntos) se sumará al puntaje final del primer parcial, de similar manera se aplicará para el segundo parcial. Sin embargo, esta calificación de 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no se tendrá en cuenta en 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671703" w:rsidRDefault="00671703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71703" w:rsidRPr="001E663D" w:rsidRDefault="00671703" w:rsidP="0067170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71703" w:rsidRPr="00EA5F29" w:rsidRDefault="00671703" w:rsidP="0067170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671703" w:rsidRPr="00EA5F29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7D5730" w:rsidRDefault="007D5730" w:rsidP="007D5730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  <w:r>
              <w:rPr>
                <w:b/>
                <w:i/>
              </w:rPr>
              <w:t>Respecto al proceso de aprendizaje se establecen las siguientes condiciones:</w:t>
            </w:r>
          </w:p>
          <w:p w:rsidR="007D5730" w:rsidRDefault="007D5730" w:rsidP="007D5730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7D5730" w:rsidRPr="00462C87" w:rsidRDefault="007D5730" w:rsidP="007D5730">
            <w:pPr>
              <w:pStyle w:val="Textodebloque"/>
              <w:spacing w:line="300" w:lineRule="auto"/>
              <w:ind w:right="0"/>
            </w:pPr>
          </w:p>
          <w:p w:rsidR="007D5730" w:rsidRPr="00462C87" w:rsidRDefault="007D5730" w:rsidP="007D5730">
            <w:pPr>
              <w:pStyle w:val="Textodebloque"/>
              <w:spacing w:line="300" w:lineRule="auto"/>
              <w:ind w:left="0" w:right="0"/>
            </w:pPr>
          </w:p>
          <w:p w:rsidR="007D5730" w:rsidRPr="00086433" w:rsidRDefault="007D5730" w:rsidP="007D5730">
            <w:pPr>
              <w:pStyle w:val="Textodebloque"/>
              <w:numPr>
                <w:ilvl w:val="0"/>
                <w:numId w:val="3"/>
              </w:numPr>
              <w:spacing w:line="216" w:lineRule="auto"/>
              <w:ind w:right="0"/>
              <w:rPr>
                <w:szCs w:val="22"/>
              </w:rPr>
            </w:pPr>
            <w:r w:rsidRPr="00462C87">
              <w:t xml:space="preserve">Que rinda dos exámenes parciales o sus respectivos </w:t>
            </w:r>
            <w:proofErr w:type="spellStart"/>
            <w:r w:rsidRPr="00462C87">
              <w:t>recuperatorios</w:t>
            </w:r>
            <w:proofErr w:type="spellEnd"/>
            <w:r>
              <w:t>.</w:t>
            </w:r>
          </w:p>
          <w:p w:rsidR="007D5730" w:rsidRPr="00086433" w:rsidRDefault="007D5730" w:rsidP="007D5730">
            <w:pPr>
              <w:pStyle w:val="Textodebloque"/>
              <w:spacing w:line="216" w:lineRule="auto"/>
              <w:ind w:left="0" w:right="0"/>
              <w:rPr>
                <w:szCs w:val="22"/>
              </w:rPr>
            </w:pPr>
          </w:p>
          <w:p w:rsidR="007D5730" w:rsidRPr="00BF7A0C" w:rsidRDefault="007D5730" w:rsidP="007D573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BF7A0C">
              <w:rPr>
                <w:rFonts w:ascii="Arial" w:hAnsi="Arial" w:cs="Arial"/>
                <w:b/>
                <w:i/>
                <w:sz w:val="22"/>
              </w:rPr>
              <w:lastRenderedPageBreak/>
              <w:t>Regularidad en la materia:</w:t>
            </w:r>
          </w:p>
          <w:p w:rsidR="007D5730" w:rsidRDefault="007D5730" w:rsidP="007D5730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7D5730" w:rsidRPr="00647EAC" w:rsidRDefault="007D5730" w:rsidP="007D5730">
            <w:pPr>
              <w:pStyle w:val="Prrafodelista"/>
              <w:numPr>
                <w:ilvl w:val="0"/>
                <w:numId w:val="2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647EAC">
              <w:rPr>
                <w:rFonts w:ascii="Arial" w:hAnsi="Arial" w:cs="Arial"/>
                <w:lang w:val="es-419"/>
              </w:rPr>
              <w:t xml:space="preserve">Un estudiante será considerado </w:t>
            </w:r>
            <w:r w:rsidRPr="00647EAC">
              <w:rPr>
                <w:rFonts w:ascii="Arial" w:hAnsi="Arial" w:cs="Arial"/>
                <w:b/>
                <w:lang w:val="es-419"/>
              </w:rPr>
              <w:t xml:space="preserve">Regular </w:t>
            </w:r>
            <w:r w:rsidRPr="00647EAC">
              <w:rPr>
                <w:rFonts w:ascii="Arial" w:hAnsi="Arial" w:cs="Arial"/>
                <w:lang w:val="es-419"/>
              </w:rPr>
              <w:t xml:space="preserve">si aprueba los dos parciales o sus respectivos </w:t>
            </w:r>
            <w:proofErr w:type="spellStart"/>
            <w:r w:rsidRPr="00647EAC">
              <w:rPr>
                <w:rFonts w:ascii="Arial" w:hAnsi="Arial" w:cs="Arial"/>
                <w:lang w:val="es-419"/>
              </w:rPr>
              <w:t>recuperatorios</w:t>
            </w:r>
            <w:proofErr w:type="spellEnd"/>
            <w:r w:rsidRPr="00647EAC">
              <w:rPr>
                <w:rFonts w:ascii="Arial" w:hAnsi="Arial" w:cs="Arial"/>
                <w:lang w:val="es-419"/>
              </w:rPr>
              <w:t xml:space="preserve"> con una nota mayor</w:t>
            </w:r>
            <w:r>
              <w:rPr>
                <w:rFonts w:ascii="Arial" w:hAnsi="Arial" w:cs="Arial"/>
                <w:lang w:val="es-419"/>
              </w:rPr>
              <w:t xml:space="preserve"> o igual al 60% de los puntos.</w:t>
            </w:r>
          </w:p>
          <w:p w:rsidR="007D5730" w:rsidRPr="00647EAC" w:rsidRDefault="007D5730" w:rsidP="007D5730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  <w:p w:rsidR="007D5730" w:rsidRPr="00462C87" w:rsidRDefault="007D5730" w:rsidP="007D5730">
            <w:pPr>
              <w:pStyle w:val="Prrafodelista"/>
              <w:numPr>
                <w:ilvl w:val="0"/>
                <w:numId w:val="2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462C87">
              <w:rPr>
                <w:rFonts w:ascii="Arial" w:hAnsi="Arial" w:cs="Arial"/>
                <w:lang w:val="es-419"/>
              </w:rPr>
              <w:t xml:space="preserve">En caso contrario se considera al estudiante en la condición de </w:t>
            </w:r>
            <w:r w:rsidRPr="00462C87">
              <w:rPr>
                <w:rFonts w:ascii="Arial" w:hAnsi="Arial" w:cs="Arial"/>
                <w:b/>
                <w:lang w:val="es-419"/>
              </w:rPr>
              <w:t>Libre</w:t>
            </w:r>
            <w:r w:rsidRPr="00462C87">
              <w:rPr>
                <w:rFonts w:ascii="Arial" w:hAnsi="Arial" w:cs="Arial"/>
                <w:lang w:val="es-419"/>
              </w:rPr>
              <w:t>.</w:t>
            </w:r>
          </w:p>
          <w:p w:rsidR="00671703" w:rsidRPr="007D5730" w:rsidRDefault="00671703" w:rsidP="00671703">
            <w:pPr>
              <w:pStyle w:val="Textodebloque"/>
              <w:spacing w:line="300" w:lineRule="auto"/>
              <w:ind w:left="0" w:right="0"/>
              <w:rPr>
                <w:b/>
                <w:i/>
                <w:lang w:val="es-419"/>
              </w:rPr>
            </w:pPr>
          </w:p>
        </w:tc>
      </w:tr>
    </w:tbl>
    <w:p w:rsidR="00671703" w:rsidRPr="00EA5F29" w:rsidRDefault="00671703" w:rsidP="00671703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671703" w:rsidRPr="00EA5F29" w:rsidTr="00774CA0">
        <w:tc>
          <w:tcPr>
            <w:tcW w:w="9356" w:type="dxa"/>
            <w:gridSpan w:val="5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 y/o promocionar el espacio curricular. Especifique condiciones para alumnos regulares y libres.)</w:t>
            </w:r>
          </w:p>
        </w:tc>
      </w:tr>
      <w:tr w:rsidR="00671703" w:rsidRPr="00EA5F29" w:rsidTr="00774CA0">
        <w:tc>
          <w:tcPr>
            <w:tcW w:w="9356" w:type="dxa"/>
            <w:gridSpan w:val="5"/>
            <w:shd w:val="clear" w:color="auto" w:fill="auto"/>
          </w:tcPr>
          <w:p w:rsidR="00671703" w:rsidRDefault="00671703" w:rsidP="00774CA0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Pr="00833055" w:rsidRDefault="007D5730" w:rsidP="007D5730">
            <w:pPr>
              <w:pStyle w:val="Textodebloque"/>
              <w:spacing w:line="300" w:lineRule="auto"/>
              <w:ind w:left="0" w:right="0"/>
            </w:pPr>
            <w:r w:rsidRPr="00833055">
              <w:t xml:space="preserve">Para aprobar esta materia se dará importancia conjunta al proceso de aprendizaje y al resultado del examen final. Esto significa que ambas calificaciones (proceso y examen final) aportan para la nota definitiva. Por este motivo, la evaluación será continua. </w:t>
            </w:r>
          </w:p>
          <w:p w:rsidR="007D5730" w:rsidRDefault="007D5730" w:rsidP="007D5730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Pr="00833055" w:rsidRDefault="007D5730" w:rsidP="007D573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33055">
              <w:rPr>
                <w:rFonts w:ascii="Arial" w:hAnsi="Arial" w:cs="Arial"/>
                <w:b/>
                <w:i/>
                <w:sz w:val="22"/>
              </w:rPr>
              <w:t>El alumno aprobará la materia si:</w:t>
            </w:r>
          </w:p>
          <w:p w:rsidR="007D5730" w:rsidRDefault="007D5730" w:rsidP="007D5730">
            <w:pPr>
              <w:jc w:val="both"/>
              <w:rPr>
                <w:rFonts w:ascii="Arial" w:hAnsi="Arial" w:cs="Arial"/>
                <w:szCs w:val="10"/>
              </w:rPr>
            </w:pPr>
          </w:p>
          <w:p w:rsidR="007D5730" w:rsidRPr="00833055" w:rsidRDefault="007D5730" w:rsidP="007D57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>Cumple con las condiciones de regularidad antes mencionadas.</w:t>
            </w:r>
          </w:p>
          <w:p w:rsidR="007D5730" w:rsidRPr="008477C0" w:rsidRDefault="007D5730" w:rsidP="007D5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5730" w:rsidRPr="003962F1" w:rsidRDefault="007D5730" w:rsidP="007D57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 xml:space="preserve">Rinde </w:t>
            </w:r>
            <w:r>
              <w:rPr>
                <w:rFonts w:ascii="Arial" w:hAnsi="Arial" w:cs="Arial"/>
                <w:lang w:val="es-419"/>
              </w:rPr>
              <w:t xml:space="preserve">y aprueba un examen final escrito </w:t>
            </w:r>
            <w:r>
              <w:rPr>
                <w:rFonts w:ascii="Arial" w:hAnsi="Arial" w:cs="Arial"/>
                <w:lang w:val="es-ES_tradnl"/>
              </w:rPr>
              <w:t xml:space="preserve">con un mínimo del 60% del total. </w:t>
            </w:r>
            <w:r w:rsidRPr="003962F1">
              <w:rPr>
                <w:rFonts w:ascii="Arial" w:hAnsi="Arial" w:cs="Arial"/>
                <w:lang w:val="es-ES_tradnl"/>
              </w:rPr>
              <w:t>Este examen se diferenciará según la condición obtenida:</w:t>
            </w:r>
          </w:p>
          <w:p w:rsidR="007D5730" w:rsidRDefault="007D5730" w:rsidP="007D5730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730" w:rsidRDefault="007D5730" w:rsidP="007D5730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A55AA3">
              <w:rPr>
                <w:rFonts w:ascii="Arial" w:hAnsi="Arial" w:cs="Arial"/>
                <w:lang w:val="es-ES_tradnl"/>
              </w:rPr>
              <w:t xml:space="preserve">Para los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A55AA3">
              <w:rPr>
                <w:rFonts w:ascii="Arial" w:hAnsi="Arial" w:cs="Arial"/>
                <w:lang w:val="es-ES_tradnl"/>
              </w:rPr>
              <w:t xml:space="preserve">lumnos </w:t>
            </w:r>
            <w:r w:rsidRPr="00F465D7">
              <w:rPr>
                <w:rFonts w:ascii="Arial" w:hAnsi="Arial" w:cs="Arial"/>
                <w:b/>
                <w:lang w:val="es-ES_tradnl"/>
              </w:rPr>
              <w:t>Regulares</w:t>
            </w:r>
            <w:r>
              <w:rPr>
                <w:rFonts w:ascii="Arial" w:hAnsi="Arial" w:cs="Arial"/>
                <w:lang w:val="es-ES_tradnl"/>
              </w:rPr>
              <w:t>, e</w:t>
            </w:r>
            <w:r w:rsidRPr="00591D19">
              <w:rPr>
                <w:rFonts w:ascii="Arial" w:hAnsi="Arial" w:cs="Arial"/>
                <w:lang w:val="es-ES_tradnl"/>
              </w:rPr>
              <w:t>l examen final será teórico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7D5730" w:rsidRPr="00F342D6" w:rsidRDefault="007D5730" w:rsidP="007D5730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F342D6">
              <w:rPr>
                <w:rFonts w:ascii="Arial" w:hAnsi="Arial" w:cs="Arial"/>
                <w:lang w:val="es-ES_tradnl"/>
              </w:rPr>
              <w:t xml:space="preserve">Para los alumnos </w:t>
            </w:r>
            <w:r w:rsidRPr="00F342D6">
              <w:rPr>
                <w:rFonts w:ascii="Arial" w:hAnsi="Arial" w:cs="Arial"/>
                <w:b/>
                <w:lang w:val="es-ES_tradnl"/>
              </w:rPr>
              <w:t>Libres</w:t>
            </w:r>
            <w:r w:rsidRPr="00F342D6">
              <w:rPr>
                <w:rFonts w:ascii="Arial" w:hAnsi="Arial" w:cs="Arial"/>
                <w:lang w:val="es-ES_tradnl"/>
              </w:rPr>
              <w:t>, el examen final será teórico y práctico.</w:t>
            </w:r>
          </w:p>
          <w:p w:rsidR="00671703" w:rsidRPr="007D5730" w:rsidRDefault="00671703" w:rsidP="007D5730">
            <w:pPr>
              <w:spacing w:line="216" w:lineRule="auto"/>
              <w:jc w:val="both"/>
              <w:rPr>
                <w:lang w:val="es-ES_tradnl"/>
              </w:rPr>
            </w:pPr>
          </w:p>
        </w:tc>
      </w:tr>
      <w:tr w:rsidR="00671703" w:rsidRPr="00EA5F29" w:rsidTr="00774CA0">
        <w:tc>
          <w:tcPr>
            <w:tcW w:w="6521" w:type="dxa"/>
            <w:shd w:val="clear" w:color="auto" w:fill="auto"/>
          </w:tcPr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671703" w:rsidRPr="001E663D" w:rsidRDefault="007D5730" w:rsidP="00774CA0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:rsidR="00671703" w:rsidRPr="00EA18A2" w:rsidRDefault="00671703" w:rsidP="00671703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671703" w:rsidRPr="00EA18A2" w:rsidRDefault="00671703" w:rsidP="00671703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671703" w:rsidRPr="00C6738E" w:rsidRDefault="00671703" w:rsidP="00671703">
      <w:pPr>
        <w:spacing w:line="240" w:lineRule="exact"/>
      </w:pPr>
    </w:p>
    <w:p w:rsidR="00671703" w:rsidRDefault="00671703" w:rsidP="00671703">
      <w:pPr>
        <w:spacing w:line="240" w:lineRule="exact"/>
      </w:pPr>
    </w:p>
    <w:p w:rsidR="00671703" w:rsidRDefault="007D5730" w:rsidP="00671703">
      <w:pPr>
        <w:pStyle w:val="Ttulo8"/>
        <w:jc w:val="left"/>
        <w:rPr>
          <w:rFonts w:ascii="Courier New" w:hAnsi="Courier New"/>
          <w:b w:val="0"/>
          <w:i w:val="0"/>
          <w:sz w:val="20"/>
        </w:rPr>
      </w:pPr>
      <w:r>
        <w:rPr>
          <w:rFonts w:ascii="Courier New" w:hAnsi="Courier New"/>
          <w:b w:val="0"/>
          <w:i w:val="0"/>
          <w:sz w:val="20"/>
        </w:rPr>
        <w:t xml:space="preserve">                                                        Dra. Eugenia Artola</w:t>
      </w:r>
    </w:p>
    <w:p w:rsidR="00671703" w:rsidRPr="0083340E" w:rsidRDefault="00671703" w:rsidP="00671703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71703" w:rsidRPr="0083340E" w:rsidRDefault="00671703" w:rsidP="00671703">
      <w:pPr>
        <w:pStyle w:val="Ttulo8"/>
        <w:rPr>
          <w:i w:val="0"/>
        </w:rPr>
      </w:pPr>
      <w:r w:rsidRPr="0083340E">
        <w:rPr>
          <w:i w:val="0"/>
        </w:rPr>
        <w:t>DEL RESPONSABLE DEL ESPACIO CURRICULAR</w:t>
      </w:r>
    </w:p>
    <w:p w:rsidR="00DA3CB3" w:rsidRDefault="00616D51"/>
    <w:sectPr w:rsidR="00DA3CB3" w:rsidSect="00671703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51" w:rsidRDefault="00616D51" w:rsidP="00671703">
      <w:r>
        <w:separator/>
      </w:r>
    </w:p>
  </w:endnote>
  <w:endnote w:type="continuationSeparator" w:id="0">
    <w:p w:rsidR="00616D51" w:rsidRDefault="00616D51" w:rsidP="0067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BA19A1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616D51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BA19A1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BA19A1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BA19A1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51" w:rsidRDefault="00616D51" w:rsidP="00671703">
      <w:r>
        <w:separator/>
      </w:r>
    </w:p>
  </w:footnote>
  <w:footnote w:type="continuationSeparator" w:id="0">
    <w:p w:rsidR="00616D51" w:rsidRDefault="00616D51" w:rsidP="0067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3" w:rsidRDefault="00671703">
    <w:pPr>
      <w:pStyle w:val="Encabezado"/>
    </w:pPr>
  </w:p>
  <w:tbl>
    <w:tblPr>
      <w:tblStyle w:val="Tablaconcuadrcula"/>
      <w:tblW w:w="57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3"/>
      <w:gridCol w:w="4316"/>
      <w:gridCol w:w="4032"/>
    </w:tblGrid>
    <w:tr w:rsidR="00671703" w:rsidTr="00774CA0">
      <w:trPr>
        <w:trHeight w:val="1134"/>
      </w:trPr>
      <w:tc>
        <w:tcPr>
          <w:tcW w:w="1029" w:type="pct"/>
        </w:tcPr>
        <w:p w:rsidR="00671703" w:rsidRDefault="00671703" w:rsidP="00671703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DB6AA02" wp14:editId="03A4CF3E">
                <wp:simplePos x="0" y="0"/>
                <wp:positionH relativeFrom="page">
                  <wp:posOffset>8255</wp:posOffset>
                </wp:positionH>
                <wp:positionV relativeFrom="paragraph">
                  <wp:posOffset>34290</wp:posOffset>
                </wp:positionV>
                <wp:extent cx="1348105" cy="698500"/>
                <wp:effectExtent l="0" t="0" r="4445" b="6350"/>
                <wp:wrapTight wrapText="bothSides">
                  <wp:wrapPolygon edited="0">
                    <wp:start x="0" y="0"/>
                    <wp:lineTo x="0" y="21207"/>
                    <wp:lineTo x="21366" y="21207"/>
                    <wp:lineTo x="21366" y="0"/>
                    <wp:lineTo x="0" y="0"/>
                  </wp:wrapPolygon>
                </wp:wrapTight>
                <wp:docPr id="434" name="Imagen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MBRETE 2019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56" b="16366"/>
                        <a:stretch/>
                      </pic:blipFill>
                      <pic:spPr bwMode="auto">
                        <a:xfrm>
                          <a:off x="0" y="0"/>
                          <a:ext cx="134810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53" w:type="pct"/>
        </w:tcPr>
        <w:p w:rsidR="00671703" w:rsidRDefault="00671703" w:rsidP="00671703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64AF400F" wp14:editId="323964AE">
                <wp:simplePos x="0" y="0"/>
                <wp:positionH relativeFrom="page">
                  <wp:posOffset>27305</wp:posOffset>
                </wp:positionH>
                <wp:positionV relativeFrom="paragraph">
                  <wp:posOffset>20955</wp:posOffset>
                </wp:positionV>
                <wp:extent cx="1854200" cy="709295"/>
                <wp:effectExtent l="0" t="0" r="0" b="0"/>
                <wp:wrapTight wrapText="bothSides">
                  <wp:wrapPolygon edited="0">
                    <wp:start x="0" y="0"/>
                    <wp:lineTo x="0" y="20885"/>
                    <wp:lineTo x="21304" y="20885"/>
                    <wp:lineTo x="21304" y="0"/>
                    <wp:lineTo x="0" y="0"/>
                  </wp:wrapPolygon>
                </wp:wrapTight>
                <wp:docPr id="436" name="Imagen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MBRETE 2019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00" r="40010" b="17943"/>
                        <a:stretch/>
                      </pic:blipFill>
                      <pic:spPr bwMode="auto">
                        <a:xfrm>
                          <a:off x="0" y="0"/>
                          <a:ext cx="1854200" cy="709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1703" w:rsidRDefault="00671703" w:rsidP="00671703">
          <w:pPr>
            <w:pStyle w:val="Encabezado"/>
          </w:pPr>
        </w:p>
      </w:tc>
      <w:tc>
        <w:tcPr>
          <w:tcW w:w="1918" w:type="pct"/>
        </w:tcPr>
        <w:p w:rsidR="00671703" w:rsidRDefault="00671703" w:rsidP="00671703">
          <w:pPr>
            <w:pStyle w:val="Encabezado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D829E5" wp14:editId="25CC295C">
                    <wp:simplePos x="0" y="0"/>
                    <wp:positionH relativeFrom="column">
                      <wp:posOffset>-53022</wp:posOffset>
                    </wp:positionH>
                    <wp:positionV relativeFrom="paragraph">
                      <wp:posOffset>165287</wp:posOffset>
                    </wp:positionV>
                    <wp:extent cx="128329" cy="95957"/>
                    <wp:effectExtent l="0" t="21908" r="40323" b="40322"/>
                    <wp:wrapNone/>
                    <wp:docPr id="2" name="Triángulo isóscele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128329" cy="95957"/>
                            </a:xfrm>
                            <a:prstGeom prst="triangle">
                              <a:avLst>
                                <a:gd name="adj" fmla="val 46819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09EC1849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2" o:spid="_x0000_s1026" type="#_x0000_t5" style="position:absolute;margin-left:-4.15pt;margin-top:13pt;width:10.1pt;height:7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" adj="10113" fillcolor="black [3200]" strokecolor="black [1600]" strokeweight="1pt"/>
                </w:pict>
              </mc:Fallback>
            </mc:AlternateContent>
          </w:r>
        </w:p>
        <w:p w:rsidR="00671703" w:rsidRDefault="00671703" w:rsidP="00671703">
          <w:pPr>
            <w:pStyle w:val="Encabezado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t xml:space="preserve"> </w:t>
          </w:r>
          <w:r w:rsidRPr="00CE2002">
            <w:rPr>
              <w:sz w:val="16"/>
              <w:szCs w:val="16"/>
            </w:rPr>
            <w:t xml:space="preserve">  </w:t>
          </w:r>
          <w:r w:rsidRPr="00CE2002">
            <w:rPr>
              <w:rFonts w:asciiTheme="minorHAnsi" w:hAnsiTheme="minorHAnsi" w:cstheme="minorHAnsi"/>
              <w:b/>
              <w:sz w:val="16"/>
              <w:szCs w:val="16"/>
            </w:rPr>
            <w:t xml:space="preserve"> 2020</w:t>
          </w:r>
        </w:p>
        <w:p w:rsidR="00671703" w:rsidRPr="00CE2002" w:rsidRDefault="00671703" w:rsidP="00671703">
          <w:pPr>
            <w:pStyle w:val="Encabezado"/>
            <w:rPr>
              <w:b/>
              <w:i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5B68DE" wp14:editId="61D2DA33">
                    <wp:simplePos x="0" y="0"/>
                    <wp:positionH relativeFrom="column">
                      <wp:posOffset>-4486275</wp:posOffset>
                    </wp:positionH>
                    <wp:positionV relativeFrom="paragraph">
                      <wp:posOffset>612775</wp:posOffset>
                    </wp:positionV>
                    <wp:extent cx="6422390" cy="8255"/>
                    <wp:effectExtent l="0" t="0" r="16510" b="29845"/>
                    <wp:wrapNone/>
                    <wp:docPr id="7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22390" cy="8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71C91351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3.25pt,48.25pt" to="152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" strokecolor="#a5a5a5 [3206]" strokeweight=".5pt">
                    <v:stroke joinstyle="miter"/>
                  </v:line>
                </w:pict>
              </mc:Fallback>
            </mc:AlternateContent>
          </w:r>
          <w:r w:rsidRPr="00CE2002">
            <w:rPr>
              <w:rFonts w:ascii="Helvetica" w:hAnsi="Helvetica"/>
              <w:b/>
              <w:i/>
              <w:color w:val="111111"/>
              <w:sz w:val="16"/>
              <w:szCs w:val="16"/>
              <w:shd w:val="clear" w:color="auto" w:fill="F9F9F9"/>
            </w:rPr>
            <w:t xml:space="preserve">   “AÑO DEL GENERAL MANUEL BELGRANO”</w:t>
          </w:r>
        </w:p>
      </w:tc>
    </w:tr>
  </w:tbl>
  <w:p w:rsidR="00671703" w:rsidRDefault="00671703">
    <w:pPr>
      <w:pStyle w:val="Encabezado"/>
    </w:pPr>
  </w:p>
  <w:p w:rsidR="008F1ECF" w:rsidRPr="00A83E34" w:rsidRDefault="00616D51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51"/>
    <w:multiLevelType w:val="hybridMultilevel"/>
    <w:tmpl w:val="0624ECFA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88F"/>
    <w:multiLevelType w:val="hybridMultilevel"/>
    <w:tmpl w:val="BE46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40824"/>
    <w:multiLevelType w:val="hybridMultilevel"/>
    <w:tmpl w:val="37A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3CCE"/>
    <w:multiLevelType w:val="hybridMultilevel"/>
    <w:tmpl w:val="BA32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03"/>
    <w:rsid w:val="002834AC"/>
    <w:rsid w:val="00440587"/>
    <w:rsid w:val="00616D51"/>
    <w:rsid w:val="00666C25"/>
    <w:rsid w:val="00671703"/>
    <w:rsid w:val="007D5730"/>
    <w:rsid w:val="00890465"/>
    <w:rsid w:val="00BA19A1"/>
    <w:rsid w:val="00B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EF07"/>
  <w15:chartTrackingRefBased/>
  <w15:docId w15:val="{424F2189-424A-D74A-BDFB-A82625E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03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71703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671703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71703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71703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71703"/>
    <w:rPr>
      <w:rFonts w:ascii="Arial" w:eastAsia="Times New Roman" w:hAnsi="Arial" w:cs="Arial"/>
      <w:b/>
      <w:bCs/>
      <w:i/>
      <w:iCs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71703"/>
    <w:rPr>
      <w:rFonts w:ascii="Arial" w:eastAsia="Times New Roman" w:hAnsi="Arial" w:cs="Arial"/>
      <w:b/>
      <w:bCs/>
      <w:i/>
      <w:i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71703"/>
    <w:rPr>
      <w:rFonts w:ascii="Arial" w:eastAsia="Times New Roman" w:hAnsi="Arial" w:cs="Arial"/>
      <w:b/>
      <w:bCs/>
      <w:i/>
      <w:iCs/>
      <w:sz w:val="22"/>
      <w:szCs w:val="22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71703"/>
    <w:rPr>
      <w:rFonts w:ascii="Arial" w:eastAsia="Times New Roman" w:hAnsi="Arial" w:cs="Times New Roman"/>
      <w:b/>
      <w:i/>
      <w:sz w:val="16"/>
      <w:lang w:val="es-ES" w:eastAsia="es-ES"/>
    </w:rPr>
  </w:style>
  <w:style w:type="paragraph" w:styleId="Piedepgina">
    <w:name w:val="footer"/>
    <w:basedOn w:val="Normal"/>
    <w:link w:val="PiedepginaCar"/>
    <w:rsid w:val="006717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1703"/>
    <w:rPr>
      <w:rFonts w:ascii="Courier New" w:eastAsia="Times New Roman" w:hAnsi="Courier New" w:cs="Times New Roman"/>
      <w:sz w:val="20"/>
      <w:lang w:val="es-ES" w:eastAsia="es-ES"/>
    </w:rPr>
  </w:style>
  <w:style w:type="character" w:styleId="Nmerodepgina">
    <w:name w:val="page number"/>
    <w:basedOn w:val="Fuentedeprrafopredeter"/>
    <w:rsid w:val="00671703"/>
  </w:style>
  <w:style w:type="paragraph" w:styleId="Encabezado">
    <w:name w:val="header"/>
    <w:basedOn w:val="Normal"/>
    <w:link w:val="EncabezadoCar"/>
    <w:rsid w:val="006717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1703"/>
    <w:rPr>
      <w:rFonts w:ascii="Courier New" w:eastAsia="Times New Roman" w:hAnsi="Courier New" w:cs="Times New Roman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7170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loque">
    <w:name w:val="Block Text"/>
    <w:basedOn w:val="Normal"/>
    <w:rsid w:val="00671703"/>
    <w:pPr>
      <w:widowControl/>
      <w:autoSpaceDE/>
      <w:autoSpaceDN/>
      <w:adjustRightInd/>
      <w:ind w:left="170" w:right="17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uiPriority w:val="39"/>
    <w:rsid w:val="00671703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Eugenia</cp:lastModifiedBy>
  <cp:revision>2</cp:revision>
  <dcterms:created xsi:type="dcterms:W3CDTF">2020-09-02T15:53:00Z</dcterms:created>
  <dcterms:modified xsi:type="dcterms:W3CDTF">2020-09-02T15:53:00Z</dcterms:modified>
</cp:coreProperties>
</file>