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567"/>
        <w:gridCol w:w="2634"/>
        <w:gridCol w:w="1193"/>
        <w:gridCol w:w="2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9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Espacio Curricular: 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hint="default" w:asciiTheme="minorHAnsi" w:hAnsiTheme="minorHAnsi"/>
                <w:b/>
                <w:bCs/>
                <w:sz w:val="22"/>
                <w:szCs w:val="22"/>
              </w:rPr>
              <w:t>ANATOMÍA COMPARADA DE VERTEBRADOS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(EB8</w:t>
            </w:r>
            <w:r>
              <w:rPr>
                <w:rFonts w:hint="default" w:asciiTheme="minorHAnsi" w:hAnsiTheme="minorHAnsi" w:cstheme="minorHAnsi"/>
                <w:b/>
                <w:sz w:val="22"/>
                <w:szCs w:val="22"/>
                <w:lang w:val="es-AR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Carácter: 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Electiva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Período: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2"/>
                <w:szCs w:val="22"/>
                <w:lang w:val="es-AR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 Semestre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Carrera: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Licenciatura en Ciencias Básicas con orientación en Biología.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Profesor Responsable: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Paola L. SASSI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Equipo Docente: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Nadia VICENZI</w:t>
            </w:r>
            <w:r>
              <w:rPr>
                <w:rFonts w:hint="default" w:asciiTheme="minorHAnsi" w:hAnsiTheme="minorHAnsi" w:cstheme="minorHAnsi"/>
                <w:sz w:val="22"/>
                <w:szCs w:val="22"/>
                <w:lang w:val="es-AR"/>
              </w:rPr>
              <w:t xml:space="preserve"> (JTP), Rosarito SÁNCHEZ DÓMINA (adscripta)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9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Arial Unicode MS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Horaria: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 (60 teórico-prácticas, 40 prácticas)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Requisitos de Cursado: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6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1-OBJETIVOS Y EXPECTATIVAS DE LOGRO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widowControl/>
              <w:jc w:val="both"/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</w:rPr>
              <w:t xml:space="preserve"> </w:t>
            </w:r>
            <w:r>
              <w:rPr>
                <w:rFonts w:hint="default" w:asciiTheme="minorAscii" w:hAnsiTheme="minorAscii"/>
                <w:sz w:val="22"/>
                <w:szCs w:val="22"/>
              </w:rPr>
              <w:t>Se pretende que el alumno:</w:t>
            </w:r>
          </w:p>
          <w:p>
            <w:pPr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1-Conozca los modelos estructurales y tendencias evolutivas de los sistemas orgánicos en distintos grupos de vertebrados, sus semejanzas y diferencias, para apreciar los cambios que operan en la ontogenia y filogenia.</w:t>
            </w:r>
          </w:p>
          <w:p>
            <w:pPr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2-Profundice en los mecanismos fenotípicos que constituyen la base de la respuesta adaptativa y sustentan los patrones macroevolutivos y macroecológicos de distribución de la diversidad.</w:t>
            </w:r>
          </w:p>
          <w:p>
            <w:pPr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3-Trascienda la etapa de incorporar </w:t>
            </w:r>
            <w:r>
              <w:rPr>
                <w:rFonts w:hint="default" w:asciiTheme="minorAscii" w:hAnsiTheme="minorAscii"/>
                <w:sz w:val="22"/>
                <w:szCs w:val="22"/>
                <w:lang w:val="es-AR"/>
              </w:rPr>
              <w:t xml:space="preserve">nociones 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a su memoria para pasar a una etapa de </w:t>
            </w:r>
            <w:r>
              <w:rPr>
                <w:rFonts w:hint="default" w:asciiTheme="minorAscii" w:hAnsiTheme="minorAscii"/>
                <w:sz w:val="22"/>
                <w:szCs w:val="22"/>
                <w:lang w:val="es-AR"/>
              </w:rPr>
              <w:t>integrar</w:t>
            </w:r>
            <w:r>
              <w:rPr>
                <w:rFonts w:hint="default" w:asciiTheme="minorAscii" w:hAnsiTheme="minorAscii"/>
                <w:sz w:val="22"/>
                <w:szCs w:val="22"/>
              </w:rPr>
              <w:t xml:space="preserve">, relacionar y </w:t>
            </w:r>
            <w:r>
              <w:rPr>
                <w:rFonts w:hint="default" w:asciiTheme="minorAscii" w:hAnsiTheme="minorAscii"/>
                <w:sz w:val="22"/>
                <w:szCs w:val="22"/>
                <w:lang w:val="es-AR"/>
              </w:rPr>
              <w:t>expandir su comprensión en biología</w:t>
            </w:r>
            <w:r>
              <w:rPr>
                <w:rFonts w:hint="default" w:asciiTheme="minorAscii" w:hAnsiTheme="minorAscii"/>
                <w:sz w:val="22"/>
                <w:szCs w:val="22"/>
              </w:rPr>
              <w:t>.</w:t>
            </w:r>
          </w:p>
          <w:p>
            <w:pPr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4-Tome experiencia de primera mano en el laboratorio, para conocer técnicas de disección de ejemplares y preparación de piezas anatómicas en grupos animales representativos.</w:t>
            </w:r>
          </w:p>
          <w:p>
            <w:pPr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5-Relacione estructura con funcionamiento de manera crítica y desde un punto de vista científico, accediendo a </w:t>
            </w:r>
            <w:r>
              <w:rPr>
                <w:rFonts w:hint="default" w:asciiTheme="minorAscii" w:hAnsiTheme="minorAscii"/>
                <w:sz w:val="22"/>
                <w:szCs w:val="22"/>
                <w:lang w:val="es-AR"/>
              </w:rPr>
              <w:t xml:space="preserve">esos </w:t>
            </w:r>
            <w:r>
              <w:rPr>
                <w:rFonts w:hint="default" w:asciiTheme="minorAscii" w:hAnsiTheme="minorAscii"/>
                <w:sz w:val="22"/>
                <w:szCs w:val="22"/>
              </w:rPr>
              <w:t>modos de construir conocimiento.</w:t>
            </w:r>
          </w:p>
          <w:p>
            <w:pPr>
              <w:rPr>
                <w:rFonts w:hint="default" w:asciiTheme="minorAscii" w:hAnsiTheme="minorAscii"/>
                <w:sz w:val="22"/>
                <w:szCs w:val="22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>6-Integre los aspectos ecológico y evolutivo en la comprensión de la diversidad de mecanismos forma-función y así de la diversidad de vertebrados.</w:t>
            </w:r>
          </w:p>
          <w:p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int="default" w:asciiTheme="minorAscii" w:hAnsiTheme="minorAscii"/>
                <w:sz w:val="22"/>
                <w:szCs w:val="22"/>
              </w:rPr>
              <w:t xml:space="preserve">7-Incorpore el trabajo en grupo, el debate y la riqueza de visiones contrastantes. 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6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2-DESCRIPTORES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E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sta materia electiva apunta a enriquecer la vision de los alumnos con ejemplos y casos de estudio enmarcados en la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gran temática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de la Ecología Evolutiva. Se espera brindar herramientas conceptuales y metodológicas para analizar en profundidad las relaciones y factores que subyacen a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la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conformación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>de la diversidad biológica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. Del mismo modo, se pretende analizar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>patrones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 y procesos implicados en la emergencia de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esa diversidad. En este sentido, el abordaje desde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la Anatomía Comparada nos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permite explorar los mecanismos de adecuación de los organismos a su entorno en diversas escalas temporales y espaciales,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considerando las distintas trayectorias evolutivas, y sus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implicancias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en términos ecológicos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. 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6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56" w:type="dxa"/>
            <w:shd w:val="clear" w:color="auto" w:fill="auto"/>
          </w:tcPr>
          <w:p>
            <w:pPr>
              <w:pStyle w:val="2"/>
              <w:spacing w:line="20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3-CONTENIDOS ANALÍTICOS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INTRODUCCIÓN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 xml:space="preserve">Morfología comparada de vertebrados. Marco histórico. Conceptos: similitud, simetría, segmentación. Morfología evolutiva. Filogenia. Teorías sobre el origen de los vertebrados. Características diagnósticas particulares de los vertebrados.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HISTORIA DE LOS VERTEBRADOS Y DISEÑO BIOLÓGICO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Agnatos, Gnatostomados, Teleosteos, Tetrápodos, Amniotas. Tamaño y forma, Biomecánica, Biofísica. La paleontología como instrumento en el estudio de la anatomía y de los patrones evolutivos de los vertebrados. Los vertebrados en el registro fósil. Representantes actuales y extintos de los vertebrados.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 xml:space="preserve">SISTEMA DE SOSTÉN Y LOCOMOCIÓN I: ESQUELETO AXIAL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 xml:space="preserve">Tipos morfológicos. Conjunto caja craneal, mandíbulas, hioides. Filogenia del cráneo. Diseño y función. Componentes del esqueleto axial: vértebras, costillas, esternón. Filogenia. Forma y función.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 xml:space="preserve">SISTEMA DE SOSTÉN Y LOCOMOCIÓN II: ESQUELETO APENDICULAR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Componentes del esqueleto apendicular: aletas y extremidades. Origen. Filogenia. Evolución. Forma y función: Cambios estructurales y funcionales asociados a la locomoción en el ambiente terrestre.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 xml:space="preserve">INTERCAMBIO GASEOSO: SISTEMA RESPIRATORIO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 xml:space="preserve">Repaso órganos respiratorios. Mecanismos ventilatorios. Filogenia. Forma y función. Evolución de los órganos respiratorios. Tipos de branquias en peces. Respiración en anfibios (branquias externas, internas, pulmones y respiración cutánea). Pulmones de reptiles, aves y mamíferos. 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TRANSPORTE CORPORAL: SISTEMA CIRCULATORIO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Sistema cardiovascular. Filogenia. Ajuste del diseño a las demandas ambientales. La tabicación ventricular y la evolución hacia el circuito doble. Aspectos fisiológicos asociados. La vinculación entre el sistema respiratorio y el sistema circulatorio: colonización de distintos ambientes.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PROCESAMIENTO DEL ALIMENTO Y NUTRICIÓN: SISTEMA DIGESTIVO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Componentes del tracto digestivo y glándulas asociadas. Especializaciones por grupo. Función y evolución del sistema digestivo. Energética.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SISTEMA UROGENITAL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Sistema urinario. Riñón: Estructura, filogenia, función y evolución. Sistema reproductor. Función y evolución. Estrategias reproductivas en Vertebrados: placentarios, monotremas y marsupiales. Paridad: ovulíparos, ovíparos, ovovivíparos y vivíparos. Evolución.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COORDINACIÓN E INTEGRACIÓN: SISTEMA NEUROENDOCRINO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Sistema nervioso periférico. Nervios espinales y craneales. Evolución y funciones: reflejos, sistema nervioso autónomo.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Sistema nervioso central. Médula espinal. Cerebro: evolución de estructuras y funciones. Órganos sensoriales: variación e implicancias en la ecología y evolución de los grupos.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Coordinación endocrina. Control hormonal: reproducción y metamorfosis. Sistema endocrino y ambiente.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1798" w:leftChars="899" w:firstLine="0" w:firstLineChars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20" w:after="120" w:line="240" w:lineRule="auto"/>
              <w:ind w:left="0"/>
              <w:jc w:val="both"/>
              <w:textAlignment w:val="auto"/>
              <w:rPr>
                <w:rFonts w:hint="default" w:hAnsi="Times New Roman" w:asciiTheme="minorHAnsi"/>
                <w:sz w:val="22"/>
                <w:szCs w:val="22"/>
                <w:lang w:val="es-MX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INTEGRACIÓN FORMA-FUNCIÓN, BIODIVERSIDAD Y HÁBITAT</w:t>
            </w:r>
          </w:p>
          <w:p>
            <w:pPr>
              <w:pStyle w:val="13"/>
              <w:spacing w:after="0"/>
              <w:ind w:left="1794" w:leftChars="897" w:firstLine="5" w:firstLineChars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hint="default" w:hAnsi="Times New Roman" w:asciiTheme="minorHAnsi"/>
                <w:sz w:val="22"/>
                <w:szCs w:val="22"/>
                <w:lang w:val="es-MX"/>
              </w:rPr>
              <w:t>Biodiversidad de vertebrados. Características comunes y distintivas de cada grupo. Hábitats colonizados por cada grupo. Relación entre las estructuras y funciones características de las clases y el modo de vida.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6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pStyle w:val="2"/>
              <w:spacing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/>
                <w:color w:val="auto"/>
                <w:sz w:val="22"/>
                <w:szCs w:val="22"/>
                <w:lang w:val="es-AR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-BIBLIOGRAFÍA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81" w:beforeLines="50" w:after="181" w:afterLines="50"/>
              <w:textAlignment w:val="auto"/>
              <w:rPr>
                <w:rFonts w:hint="default" w:asciiTheme="minorAscii" w:hAnsiTheme="minorAscii"/>
                <w:sz w:val="22"/>
                <w:szCs w:val="22"/>
                <w:lang w:val="en-US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US"/>
              </w:rPr>
              <w:t>Vertebrados: Anatomía Comparada, Función y Evolución (4ª ED.) 2007 Kardong, S.A. Mcgraw Hill / INTERAMERICANA.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81" w:beforeLines="50" w:after="181" w:afterLines="50"/>
              <w:textAlignment w:val="auto"/>
              <w:rPr>
                <w:rFonts w:hint="default" w:asciiTheme="minorAscii" w:hAnsiTheme="minorAscii"/>
                <w:sz w:val="22"/>
                <w:szCs w:val="22"/>
                <w:lang w:val="en-US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US"/>
              </w:rPr>
              <w:t>Evolutionary Ecology. 2001. Ed. Fox, Roff y Fairbairn. Oxford University Press, Inc. New York.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81" w:beforeLines="50" w:after="181" w:afterLines="50"/>
              <w:textAlignment w:val="auto"/>
              <w:rPr>
                <w:rFonts w:hint="default" w:asciiTheme="minorAscii" w:hAnsiTheme="minorAscii"/>
                <w:sz w:val="22"/>
                <w:szCs w:val="22"/>
                <w:lang w:val="en-US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US"/>
              </w:rPr>
              <w:t>Discovering Evolutionary Ecology. Mayhew P. 2006. Oxford Publishers.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81" w:beforeLines="50" w:after="181" w:afterLines="50"/>
              <w:textAlignment w:val="auto"/>
              <w:rPr>
                <w:rFonts w:hint="default" w:asciiTheme="minorAscii" w:hAnsiTheme="minorAscii"/>
                <w:sz w:val="22"/>
                <w:szCs w:val="22"/>
                <w:lang w:val="en-US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US"/>
              </w:rPr>
              <w:t>Fisiología Animal. 2006. Hill, Wise y Anderson. Sinauer Associates, Inc. Editorial Médica Panamericana, Madrid, España.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81" w:beforeLines="50" w:after="181" w:afterLines="50"/>
              <w:textAlignment w:val="auto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hint="default" w:asciiTheme="minorAscii" w:hAnsiTheme="minorAscii"/>
                <w:sz w:val="22"/>
                <w:szCs w:val="22"/>
                <w:lang w:val="en-US"/>
              </w:rPr>
              <w:t>Integrated Principles In Zoology (14 ED) 2008. Hickman, C. Mcgraw Hill / INTERAMERICANA.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6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shd w:val="clear" w:color="auto" w:fill="auto"/>
            <w:vAlign w:val="top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eastAsia="Times New Roman" w:asciiTheme="minorHAnsi" w:hAnsiTheme="minorHAnsi" w:cstheme="minorHAnsi"/>
                <w:b/>
                <w:i/>
                <w:sz w:val="22"/>
                <w:szCs w:val="22"/>
                <w:lang w:val="es-ES" w:eastAsia="es-ES" w:bidi="ar-SA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5-METODOLOGÍA DE ENSEÑANZA Y EVALUACIÓN DURANTE EL CURSAD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Clases teóricas, seminarios de discusión y trabajos prácticos. La carga horaria será de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60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hs.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de clases virtuales 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distribuidas en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encuentros </w:t>
            </w:r>
            <w:r>
              <w:rPr>
                <w:rFonts w:hAnsi="Times New Roman" w:asciiTheme="minorHAnsi"/>
                <w:sz w:val="22"/>
                <w:szCs w:val="22"/>
              </w:rPr>
              <w:t>semanales durante 1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3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semanas, y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40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hs. de lectura, preparación de los seminarios de discusión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, trabajos prácticos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 e informes.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Para dicha actividad se facilitarán diversas herramientas como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artículos, material audiovisual </w:t>
            </w:r>
            <w:r>
              <w:rPr>
                <w:rFonts w:hAnsi="Times New Roman" w:asciiTheme="minorHAnsi"/>
                <w:sz w:val="22"/>
                <w:szCs w:val="22"/>
              </w:rPr>
              <w:t xml:space="preserve">y material de lectura.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Si los alumnos cumplen con los requerimientos de regularidad, podrán optar para promocionar la materia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entregando al final del cursado un trabajo integrador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>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6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6- CONDICIONES DE REGULARIDAD TRAS EL CURSADO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shd w:val="clear" w:color="auto" w:fill="auto"/>
          </w:tcPr>
          <w:p>
            <w:pPr>
              <w:widowControl/>
              <w:autoSpaceDE/>
              <w:autoSpaceDN/>
              <w:adjustRightInd/>
              <w:spacing w:after="0" w:line="276" w:lineRule="auto"/>
              <w:jc w:val="both"/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  <w:lang w:val="es-AR" w:eastAsia="en-US"/>
              </w:rPr>
              <w:t>80</w:t>
            </w:r>
            <w:r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% de asistencia a clases teóricas.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100 % de trabajos prácticos aprob</w:t>
            </w:r>
            <w:r>
              <w:rPr>
                <w:rFonts w:asciiTheme="minorAscii" w:hAnsiTheme="minorHAnsi" w:cstheme="minorHAnsi"/>
                <w:sz w:val="22"/>
                <w:szCs w:val="22"/>
              </w:rPr>
              <w:t xml:space="preserve">ados </w:t>
            </w:r>
            <w:r>
              <w:rPr>
                <w:rFonts w:hAnsi="Times New Roman" w:asciiTheme="minorAscii"/>
                <w:sz w:val="22"/>
                <w:szCs w:val="22"/>
              </w:rPr>
              <w:t>(se ofrece una posibilidad de recuperación para cada u</w:t>
            </w:r>
            <w:r>
              <w:rPr>
                <w:rFonts w:hint="default" w:hAnsi="Times New Roman" w:asciiTheme="minorAscii"/>
                <w:sz w:val="22"/>
                <w:szCs w:val="22"/>
                <w:lang w:val="es-AR"/>
              </w:rPr>
              <w:t>no</w:t>
            </w:r>
            <w:r>
              <w:rPr>
                <w:rFonts w:hAnsi="Times New Roman" w:asciiTheme="minorAscii"/>
                <w:sz w:val="22"/>
                <w:szCs w:val="22"/>
              </w:rPr>
              <w:t>).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6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709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5"/>
            <w:shd w:val="clear" w:color="auto" w:fill="auto"/>
          </w:tcPr>
          <w:p>
            <w:pPr>
              <w:pStyle w:val="4"/>
              <w:spacing w:line="200" w:lineRule="exact"/>
              <w:jc w:val="left"/>
              <w:rPr>
                <w:rFonts w:asciiTheme="minorHAnsi" w:hAnsiTheme="minorHAnsi" w:cstheme="minorHAnsi"/>
              </w:rPr>
            </w:pPr>
          </w:p>
          <w:p>
            <w:pPr>
              <w:spacing w:line="200" w:lineRule="exac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7- SISTEMA DE APROBACIÓN Y/O PROMOCIÓN DEL ESPACIO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6" w:type="dxa"/>
            <w:gridSpan w:val="5"/>
            <w:shd w:val="clear" w:color="auto" w:fill="auto"/>
          </w:tcPr>
          <w:p>
            <w:pPr>
              <w:numPr>
                <w:ilvl w:val="0"/>
                <w:numId w:val="1"/>
              </w:numPr>
              <w:jc w:val="both"/>
              <w:rPr>
                <w:rFonts w:hAnsi="Times New Roman" w:ascii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>Aprobación: por un examen escrit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o que </w:t>
            </w:r>
            <w:r>
              <w:rPr>
                <w:rFonts w:hAnsi="Times New Roman" w:asciiTheme="minorHAnsi"/>
                <w:sz w:val="22"/>
                <w:szCs w:val="22"/>
              </w:rPr>
              <w:t>deberá aprobarse con el 60% de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 </w:t>
            </w:r>
            <w:r>
              <w:rPr>
                <w:rFonts w:hAnsi="Times New Roman" w:asciiTheme="minorHAnsi"/>
                <w:sz w:val="22"/>
                <w:szCs w:val="22"/>
              </w:rPr>
              <w:t>respuestas correctas.</w:t>
            </w:r>
          </w:p>
          <w:p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hAnsi="Times New Roman" w:asciiTheme="minorHAnsi"/>
                <w:sz w:val="22"/>
                <w:szCs w:val="22"/>
              </w:rPr>
              <w:t xml:space="preserve">Promoción: </w:t>
            </w:r>
            <w:r>
              <w:rPr>
                <w:rFonts w:hAnsi="Times New Roman" w:asciiTheme="minorHAnsi"/>
                <w:sz w:val="22"/>
                <w:szCs w:val="22"/>
                <w:lang w:val="es-AR"/>
              </w:rPr>
              <w:t xml:space="preserve">Mediante la </w:t>
            </w:r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evaluación continua durante el semestre y la aprobación de un trabajo </w:t>
            </w:r>
            <w:bookmarkStart w:id="0" w:name="_GoBack"/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 xml:space="preserve">final </w:t>
            </w:r>
            <w:bookmarkEnd w:id="0"/>
            <w:r>
              <w:rPr>
                <w:rFonts w:hint="default" w:hAnsi="Times New Roman" w:asciiTheme="minorHAnsi"/>
                <w:sz w:val="22"/>
                <w:szCs w:val="22"/>
                <w:lang w:val="es-AR"/>
              </w:rPr>
              <w:t>integrador</w:t>
            </w:r>
            <w:r>
              <w:rPr>
                <w:rFonts w:hAnsi="Times New Roman" w:asciiTheme="minorHAnsi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1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PROMOCIONABLE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>
      <w:pPr>
        <w:jc w:val="right"/>
        <w:rPr>
          <w:rFonts w:hint="default"/>
          <w:lang w:val="es-AR"/>
        </w:rPr>
      </w:pPr>
    </w:p>
    <w:p>
      <w:pPr>
        <w:jc w:val="right"/>
        <w:rPr>
          <w:rFonts w:hint="default"/>
          <w:lang w:val="es-AR"/>
        </w:rPr>
      </w:pPr>
      <w:r>
        <w:rPr>
          <w:rFonts w:hint="default"/>
          <w:lang w:val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29845</wp:posOffset>
            </wp:positionV>
            <wp:extent cx="1453515" cy="790575"/>
            <wp:effectExtent l="0" t="0" r="13335" b="9525"/>
            <wp:wrapNone/>
            <wp:docPr id="1" name="Picture 1" descr="Firma_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rma_Sca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default"/>
          <w:lang w:val="es-AR"/>
        </w:rPr>
      </w:pPr>
    </w:p>
    <w:p>
      <w:pPr>
        <w:jc w:val="right"/>
        <w:rPr>
          <w:rFonts w:hint="default"/>
          <w:lang w:val="es-AR"/>
        </w:rPr>
      </w:pPr>
    </w:p>
    <w:p>
      <w:pPr>
        <w:wordWrap w:val="0"/>
        <w:jc w:val="right"/>
        <w:rPr>
          <w:rFonts w:hint="default" w:asciiTheme="minorAscii"/>
          <w:lang w:val="es-AR"/>
        </w:rPr>
      </w:pPr>
      <w:r>
        <w:rPr>
          <w:rFonts w:hint="default" w:asciiTheme="minorAscii"/>
          <w:lang w:val="es-AR"/>
        </w:rPr>
        <w:t>Paola L. Sassi</w:t>
      </w:r>
    </w:p>
    <w:p>
      <w:pPr>
        <w:wordWrap w:val="0"/>
        <w:jc w:val="right"/>
        <w:rPr>
          <w:rFonts w:hint="default"/>
          <w:lang w:val="es-AR"/>
        </w:rPr>
      </w:pPr>
      <w:r>
        <w:rPr>
          <w:rFonts w:hint="default" w:asciiTheme="minorAscii"/>
          <w:lang w:val="es-AR"/>
        </w:rPr>
        <w:t>Prof. Adjunta Interina</w:t>
      </w:r>
    </w:p>
    <w:sectPr>
      <w:headerReference r:id="rId3" w:type="default"/>
      <w:pgSz w:w="11900" w:h="16840"/>
      <w:pgMar w:top="1417" w:right="1417" w:bottom="1417" w:left="141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tbl>
    <w:tblPr>
      <w:tblStyle w:val="9"/>
      <w:tblW w:w="5202" w:type="pct"/>
      <w:tblInd w:w="-17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09"/>
      <w:gridCol w:w="3783"/>
      <w:gridCol w:w="376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4" w:hRule="atLeast"/>
      </w:trPr>
      <w:tc>
        <w:tcPr>
          <w:tcW w:w="1091" w:type="pct"/>
        </w:tcPr>
        <w:p>
          <w:pPr>
            <w:pStyle w:val="8"/>
            <w:rPr>
              <w:szCs w:val="20"/>
            </w:rPr>
          </w:pPr>
          <w:r>
            <w:rPr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8255</wp:posOffset>
                </wp:positionH>
                <wp:positionV relativeFrom="paragraph">
                  <wp:posOffset>34290</wp:posOffset>
                </wp:positionV>
                <wp:extent cx="1348105" cy="698500"/>
                <wp:effectExtent l="0" t="0" r="4445" b="6350"/>
                <wp:wrapTight wrapText="bothSides">
                  <wp:wrapPolygon>
                    <wp:start x="0" y="0"/>
                    <wp:lineTo x="0" y="21207"/>
                    <wp:lineTo x="21366" y="21207"/>
                    <wp:lineTo x="21366" y="0"/>
                    <wp:lineTo x="0" y="0"/>
                  </wp:wrapPolygon>
                </wp:wrapTight>
                <wp:docPr id="434" name="Imagen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4" name="Imagen 4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856" b="163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10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58" w:type="pct"/>
        </w:tcPr>
        <w:p>
          <w:pPr>
            <w:pStyle w:val="8"/>
            <w:rPr>
              <w:szCs w:val="20"/>
            </w:rPr>
          </w:pPr>
          <w:r>
            <w:rPr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20955</wp:posOffset>
                </wp:positionV>
                <wp:extent cx="1854200" cy="709295"/>
                <wp:effectExtent l="0" t="0" r="0" b="0"/>
                <wp:wrapTight wrapText="bothSides">
                  <wp:wrapPolygon>
                    <wp:start x="0" y="0"/>
                    <wp:lineTo x="0" y="20885"/>
                    <wp:lineTo x="21304" y="20885"/>
                    <wp:lineTo x="21304" y="0"/>
                    <wp:lineTo x="0" y="0"/>
                  </wp:wrapPolygon>
                </wp:wrapTight>
                <wp:docPr id="436" name="Imagen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" name="Imagen 4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400" r="40010" b="179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0" cy="709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8"/>
            <w:rPr>
              <w:szCs w:val="20"/>
            </w:rPr>
          </w:pPr>
        </w:p>
      </w:tc>
      <w:tc>
        <w:tcPr>
          <w:tcW w:w="1949" w:type="pct"/>
        </w:tcPr>
        <w:p>
          <w:pPr>
            <w:pStyle w:val="8"/>
            <w:rPr>
              <w:szCs w:val="20"/>
            </w:rPr>
          </w:pPr>
          <w:r>
            <w:rPr>
              <w:szCs w:val="2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165100</wp:posOffset>
                    </wp:positionV>
                    <wp:extent cx="128270" cy="95885"/>
                    <wp:effectExtent l="0" t="21908" r="40323" b="40322"/>
                    <wp:wrapNone/>
                    <wp:docPr id="2" name="Triángulo isóscele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128329" cy="95957"/>
                            </a:xfrm>
                            <a:prstGeom prst="triangle">
                              <a:avLst>
                                <a:gd name="adj" fmla="val 46819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riángulo isósceles 2" o:spid="_x0000_s1026" o:spt="5" type="#_x0000_t5" style="position:absolute;left:0pt;margin-left:-4.15pt;margin-top:13pt;height:7.55pt;width:10.1pt;rotation:5898240f;z-index:251663360;v-text-anchor:middle;mso-width-relative:page;mso-height-relative:page;" fillcolor="#000000 [3200]" filled="t" stroked="t" coordsize="21600,21600" o:gfxdata="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MM13y2AAAAAcBAAAPAAAAAAAAAAEAIAAAACIAAABkcnMvZG93bnJldi54bWxQSwEC&#10;FAAUAAAACACHTuJAArA/OJ8CAABgBQAADgAAAAAAAAABACAAAAAnAQAAZHJzL2Uyb0RvYy54bWxQ&#10;SwUGAAAAAAYABgBZAQAAOAYAAAAA&#10;" adj="10113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</v:shape>
                </w:pict>
              </mc:Fallback>
            </mc:AlternateContent>
          </w:r>
        </w:p>
        <w:p>
          <w:pPr>
            <w:pStyle w:val="8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szCs w:val="20"/>
            </w:rPr>
            <w:t xml:space="preserve"> </w:t>
          </w:r>
          <w:r>
            <w:rPr>
              <w:sz w:val="16"/>
              <w:szCs w:val="16"/>
            </w:rPr>
            <w:t xml:space="preserve"> 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2020</w:t>
          </w:r>
        </w:p>
        <w:p>
          <w:pPr>
            <w:pStyle w:val="8"/>
            <w:rPr>
              <w:b/>
              <w:i/>
              <w:szCs w:val="20"/>
            </w:rPr>
          </w:pPr>
          <w:r>
            <w:rPr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-4486275</wp:posOffset>
                    </wp:positionH>
                    <wp:positionV relativeFrom="paragraph">
                      <wp:posOffset>612775</wp:posOffset>
                    </wp:positionV>
                    <wp:extent cx="6422390" cy="8255"/>
                    <wp:effectExtent l="0" t="0" r="16510" b="29845"/>
                    <wp:wrapNone/>
                    <wp:docPr id="7" name="Conector rect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22390" cy="825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Conector recto 7" o:spid="_x0000_s1026" o:spt="20" style="position:absolute;left:0pt;margin-left:-353.25pt;margin-top:48.25pt;height:0.65pt;width:505.7pt;z-index:251662336;mso-width-relative:page;mso-height-relative:page;" filled="f" stroked="t" coordsize="21600,21600" o:gfxdata="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OhDyj2gAAAAoBAAAPAAAAAAAAAAEA&#10;IAAAACIAAABkcnMvZG93bnJldi54bWxQSwECFAAUAAAACACHTuJA6nOtXNQBAACzAwAADgAAAAAA&#10;AAABACAAAAApAQAAZHJzL2Uyb0RvYy54bWxQSwUGAAAAAAYABgBZAQAAbwUAAAAA&#10;">
                    <v:fill on="f" focussize="0,0"/>
                    <v:stroke weight="0.5pt" color="#A5A5A5 [3206]" miterlimit="8" joinstyle="miter"/>
                    <v:imagedata o:title=""/>
                    <o:lock v:ext="edit" aspectratio="f"/>
                  </v:line>
                </w:pict>
              </mc:Fallback>
            </mc:AlternateContent>
          </w:r>
          <w:r>
            <w:rPr>
              <w:rFonts w:ascii="Helvetica" w:hAnsi="Helvetica"/>
              <w:b/>
              <w:i/>
              <w:color w:val="111111"/>
              <w:sz w:val="16"/>
              <w:szCs w:val="16"/>
              <w:shd w:val="clear" w:color="auto" w:fill="F9F9F9"/>
            </w:rPr>
            <w:t xml:space="preserve">   “AÑO DEL GENERAL MANUEL BELGRANO”</w:t>
          </w:r>
        </w:p>
      </w:tc>
    </w:tr>
  </w:tbl>
  <w:p>
    <w:pPr>
      <w:pStyle w:val="8"/>
    </w:pP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C1D80"/>
    <w:multiLevelType w:val="multilevel"/>
    <w:tmpl w:val="5C9C1D80"/>
    <w:lvl w:ilvl="0" w:tentative="0">
      <w:start w:val="3"/>
      <w:numFmt w:val="bullet"/>
      <w:lvlText w:val="-"/>
      <w:lvlJc w:val="left"/>
      <w:pPr>
        <w:ind w:left="795" w:hanging="360"/>
      </w:pPr>
      <w:rPr>
        <w:rFonts w:hint="default" w:ascii="Tahoma" w:hAnsi="Tahoma" w:eastAsia="Calibri" w:cs="Tahoma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8"/>
    <w:rsid w:val="002834AC"/>
    <w:rsid w:val="00452288"/>
    <w:rsid w:val="00666C25"/>
    <w:rsid w:val="00890465"/>
    <w:rsid w:val="00BF1D18"/>
    <w:rsid w:val="00C3313A"/>
    <w:rsid w:val="07412A98"/>
    <w:rsid w:val="08AD5F87"/>
    <w:rsid w:val="09972861"/>
    <w:rsid w:val="09B15869"/>
    <w:rsid w:val="0DB11026"/>
    <w:rsid w:val="10C0084D"/>
    <w:rsid w:val="10E80BBD"/>
    <w:rsid w:val="12F019B7"/>
    <w:rsid w:val="141F1B09"/>
    <w:rsid w:val="1B254A57"/>
    <w:rsid w:val="21EE414D"/>
    <w:rsid w:val="22946636"/>
    <w:rsid w:val="25DF0DB6"/>
    <w:rsid w:val="2F0D6E26"/>
    <w:rsid w:val="31BB6B3C"/>
    <w:rsid w:val="355E785A"/>
    <w:rsid w:val="39615CF6"/>
    <w:rsid w:val="398E3BA0"/>
    <w:rsid w:val="3A8079BB"/>
    <w:rsid w:val="3A952136"/>
    <w:rsid w:val="3CD941AE"/>
    <w:rsid w:val="3DBA61E5"/>
    <w:rsid w:val="42C75F00"/>
    <w:rsid w:val="43A5687D"/>
    <w:rsid w:val="44841C3A"/>
    <w:rsid w:val="47444490"/>
    <w:rsid w:val="4C693E16"/>
    <w:rsid w:val="4E4A66A6"/>
    <w:rsid w:val="4F923603"/>
    <w:rsid w:val="55246286"/>
    <w:rsid w:val="55BD3D61"/>
    <w:rsid w:val="56485220"/>
    <w:rsid w:val="56B0712E"/>
    <w:rsid w:val="57133ED7"/>
    <w:rsid w:val="5B7C63FD"/>
    <w:rsid w:val="5CBC31B4"/>
    <w:rsid w:val="60B601D9"/>
    <w:rsid w:val="631F0892"/>
    <w:rsid w:val="63736FAA"/>
    <w:rsid w:val="64EE3EC2"/>
    <w:rsid w:val="659C6D49"/>
    <w:rsid w:val="66623D47"/>
    <w:rsid w:val="694F7790"/>
    <w:rsid w:val="6F29377D"/>
    <w:rsid w:val="709722F1"/>
    <w:rsid w:val="72B12E33"/>
    <w:rsid w:val="76332600"/>
    <w:rsid w:val="7ACB75B9"/>
    <w:rsid w:val="7F8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Times New Roman"/>
      <w:sz w:val="20"/>
      <w:szCs w:val="24"/>
      <w:lang w:val="es-ES" w:eastAsia="es-ES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</w:rPr>
  </w:style>
  <w:style w:type="paragraph" w:styleId="4">
    <w:name w:val="heading 7"/>
    <w:basedOn w:val="1"/>
    <w:next w:val="1"/>
    <w:link w:val="12"/>
    <w:qFormat/>
    <w:uiPriority w:val="0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header"/>
    <w:basedOn w:val="1"/>
    <w:link w:val="14"/>
    <w:unhideWhenUsed/>
    <w:qFormat/>
    <w:uiPriority w:val="0"/>
    <w:pPr>
      <w:tabs>
        <w:tab w:val="center" w:pos="4419"/>
        <w:tab w:val="right" w:pos="8838"/>
      </w:tabs>
    </w:pPr>
  </w:style>
  <w:style w:type="table" w:styleId="9">
    <w:name w:val="Table Grid"/>
    <w:basedOn w:val="6"/>
    <w:qFormat/>
    <w:uiPriority w:val="39"/>
    <w:rPr>
      <w:rFonts w:ascii="Times New Roman" w:hAnsi="Times New Roman" w:eastAsia="Times New Roman" w:cs="Times New Roman"/>
      <w:sz w:val="20"/>
      <w:szCs w:val="20"/>
      <w:lang w:val="es-ES" w:eastAsia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ítulo 2 Car"/>
    <w:basedOn w:val="5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val="es-ES" w:eastAsia="es-ES"/>
    </w:rPr>
  </w:style>
  <w:style w:type="character" w:customStyle="1" w:styleId="11">
    <w:name w:val="Título 3 Car"/>
    <w:basedOn w:val="5"/>
    <w:link w:val="3"/>
    <w:qFormat/>
    <w:uiPriority w:val="9"/>
    <w:rPr>
      <w:rFonts w:asciiTheme="majorHAnsi" w:hAnsiTheme="majorHAnsi" w:eastAsiaTheme="majorEastAsia" w:cstheme="majorBidi"/>
      <w:color w:val="203864" w:themeColor="accent1" w:themeShade="80"/>
      <w:lang w:val="es-ES" w:eastAsia="es-ES"/>
    </w:rPr>
  </w:style>
  <w:style w:type="character" w:customStyle="1" w:styleId="12">
    <w:name w:val="Título 7 Car"/>
    <w:basedOn w:val="5"/>
    <w:link w:val="4"/>
    <w:qFormat/>
    <w:uiPriority w:val="0"/>
    <w:rPr>
      <w:rFonts w:ascii="Arial" w:hAnsi="Arial" w:eastAsia="Times New Roman" w:cs="Arial"/>
      <w:b/>
      <w:bCs/>
      <w:i/>
      <w:iCs/>
      <w:sz w:val="22"/>
      <w:szCs w:val="22"/>
      <w:lang w:val="es-ES" w:eastAsia="es-ES"/>
    </w:rPr>
  </w:style>
  <w:style w:type="paragraph" w:customStyle="1" w:styleId="13">
    <w:name w:val="Párrafo de lista1"/>
    <w:basedOn w:val="1"/>
    <w:qFormat/>
    <w:uiPriority w:val="7"/>
    <w:pPr>
      <w:spacing w:after="200"/>
      <w:ind w:left="720"/>
      <w:contextualSpacing/>
    </w:pPr>
  </w:style>
  <w:style w:type="character" w:customStyle="1" w:styleId="14">
    <w:name w:val="Encabezado Car"/>
    <w:basedOn w:val="5"/>
    <w:link w:val="8"/>
    <w:qFormat/>
    <w:uiPriority w:val="0"/>
    <w:rPr>
      <w:rFonts w:ascii="Courier New" w:hAnsi="Courier New" w:eastAsia="Times New Roman" w:cs="Times New Roman"/>
      <w:sz w:val="20"/>
      <w:lang w:val="es-ES" w:eastAsia="es-ES"/>
    </w:rPr>
  </w:style>
  <w:style w:type="character" w:customStyle="1" w:styleId="15">
    <w:name w:val="Pie de página Car"/>
    <w:basedOn w:val="5"/>
    <w:link w:val="7"/>
    <w:qFormat/>
    <w:uiPriority w:val="99"/>
    <w:rPr>
      <w:rFonts w:ascii="Courier New" w:hAnsi="Courier New" w:eastAsia="Times New Roman" w:cs="Times New Roman"/>
      <w:sz w:val="20"/>
      <w:lang w:val="es-ES" w:eastAsia="es-ES"/>
    </w:rPr>
  </w:style>
  <w:style w:type="paragraph" w:customStyle="1" w:styleId="16">
    <w:name w:val="Párrafo de lista"/>
    <w:basedOn w:val="1"/>
    <w:qFormat/>
    <w:uiPriority w:val="7"/>
    <w:pPr>
      <w:spacing w:before="0" w:after="200"/>
      <w:ind w:left="720" w:right="0" w:firstLine="0"/>
      <w:contextualSpacing/>
    </w:pPr>
  </w:style>
  <w:style w:type="paragraph" w:customStyle="1" w:styleId="17">
    <w:name w:val="Default"/>
    <w:qFormat/>
    <w:uiPriority w:val="6"/>
    <w:pPr>
      <w:widowControl/>
      <w:suppressAutoHyphens/>
      <w:kinsoku/>
      <w:overflowPunct/>
      <w:autoSpaceDE w:val="0"/>
      <w:bidi w:val="0"/>
    </w:pPr>
    <w:rPr>
      <w:rFonts w:ascii="Times New Roman" w:hAnsi="Times New Roman" w:eastAsia="Calibri" w:cs="Times New Roman"/>
      <w:color w:val="000000"/>
      <w:kern w:val="1"/>
      <w:sz w:val="24"/>
      <w:szCs w:val="24"/>
      <w:lang w:val="es-A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1082</Words>
  <Characters>5952</Characters>
  <Lines>49</Lines>
  <Paragraphs>14</Paragraphs>
  <TotalTime>13</TotalTime>
  <ScaleCrop>false</ScaleCrop>
  <LinksUpToDate>false</LinksUpToDate>
  <CharactersWithSpaces>7020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2020-09-01T23:20:00Z</dcterms:created>
  <dc:creator>Usuario de Microsoft Office</dc:creator>
  <cp:lastModifiedBy>Anonymous</cp:lastModifiedBy>
  <dcterms:modified xsi:type="dcterms:W3CDTF">2021-03-08T17:38:36Z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