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1.000000000002" w:type="dxa"/>
        <w:jc w:val="left"/>
        <w:tblInd w:w="0.0" w:type="pct"/>
        <w:tblLayout w:type="fixed"/>
        <w:tblLook w:val="0000"/>
      </w:tblPr>
      <w:tblGrid>
        <w:gridCol w:w="2415"/>
        <w:gridCol w:w="284"/>
        <w:gridCol w:w="3118"/>
        <w:gridCol w:w="992"/>
        <w:gridCol w:w="2552"/>
        <w:tblGridChange w:id="0">
          <w:tblGrid>
            <w:gridCol w:w="2415"/>
            <w:gridCol w:w="284"/>
            <w:gridCol w:w="3118"/>
            <w:gridCol w:w="992"/>
            <w:gridCol w:w="2552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PROGRAMA - AÑO 20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Espacio Curricular: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Taller: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Evaluar para aprender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Carácter: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Asignatura Electiva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Carrera/s: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Licenciatura y Profesorado en Ciencias Básicas Orientaciones: Biología, Física, Matemática y Química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Profesor Responsable: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Sandra Intelisano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Equipo Docente: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Carga Horaria: 48 horas (16 teóricas y 32 prácticas)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Requisitos de Cursado: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 Didáctica y Currículum regularizada</w:t>
            </w:r>
          </w:p>
        </w:tc>
      </w:tr>
    </w:tbl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1-EXPECTATIVAS DE LOGRO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afterAutospacing="0"/>
              <w:ind w:left="720" w:hanging="360"/>
              <w:jc w:val="both"/>
              <w:rPr>
                <w:rFonts w:ascii="Arial Narrow" w:cs="Arial Narrow" w:eastAsia="Arial Narrow" w:hAnsi="Arial Narrow"/>
                <w:b w:val="1"/>
                <w:smallCaps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24"/>
                <w:szCs w:val="24"/>
                <w:rtl w:val="0"/>
              </w:rPr>
              <w:t xml:space="preserve">comprender  LA EVALUACIÓN como elemento integral del proceso de Enseñanza y Aprendizaje.</w:t>
            </w:r>
          </w:p>
          <w:p w:rsidR="00000000" w:rsidDel="00000000" w:rsidP="00000000" w:rsidRDefault="00000000" w:rsidRPr="00000000" w14:paraId="0000002F">
            <w:pPr>
              <w:widowControl w:val="1"/>
              <w:numPr>
                <w:ilvl w:val="0"/>
                <w:numId w:val="1"/>
              </w:numPr>
              <w:tabs>
                <w:tab w:val="left" w:pos="567"/>
              </w:tabs>
              <w:spacing w:after="120" w:before="0" w:beforeAutospacing="0" w:line="276" w:lineRule="auto"/>
              <w:ind w:left="720" w:hanging="360"/>
              <w:jc w:val="both"/>
              <w:rPr>
                <w:rFonts w:ascii="Arial Narrow" w:cs="Arial Narrow" w:eastAsia="Arial Narrow" w:hAnsi="Arial Narrow"/>
                <w:b w:val="1"/>
                <w:smallCaps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24"/>
                <w:szCs w:val="24"/>
                <w:rtl w:val="0"/>
              </w:rPr>
              <w:t xml:space="preserve">producir instrumentos de evaluación en el marco de la evaluación formativa y reflexionar sobre el uso de sus resultados.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2-DESCRIPTORES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Evaluación formativa y formadora. Evaluación auténtica. Evaluación por competencias. Planificación y diseño de instrumentos de evaluación.</w:t>
            </w:r>
          </w:p>
        </w:tc>
      </w:tr>
    </w:tbl>
    <w:p w:rsidR="00000000" w:rsidDel="00000000" w:rsidP="00000000" w:rsidRDefault="00000000" w:rsidRPr="00000000" w14:paraId="0000003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3-CONTENIDOS ANALÍTICOS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36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UNIDAD I: ¿Qué es evaluar? 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Evaluación educativa. Concepto. Tipología. Objetivos. Evaluación diagnóstica. Evaluación formativa. Evaluación final o sumativa. Un modelo de evaluación como aprendizaje y para el aprendizaje. Evaluación auténtica. Evaluación por competencias.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UNIDAD II: ¿Qué se evalúa cuando evaluamos aprendizajes? ¿Cómo se evalúa cuando evaluamos aprendizajes?</w:t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Expectativas sobre el aprendizaje, competencia, rendimiento académico matemático. Concepto de rendimiento académico, aspectos sustantivos e indicativos. Evaluación normativa. Evaluación criterial. Prueba educativa. Diseño de una prueba educativa. Indicadores. Validez. Confiabilidad.</w:t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Estrategias, técnicas e instrumentos en el enfoque formativo: técnica producción del alumno, técnica observación y técnica intercambio. Prueba escrita. Rúbrica. Diseño de un instrumento a partir de indicadores.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UNIDAD III: ¿Para qué se evalúa cuando evaluamos aprendizajes? ¿Cómo aprovechar los resultados de la evaluación?</w:t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El registro y organización de los resultados. El análisis de los resultados.  Calificación. Importancia de la retroalimentación. La toma de decisiones para mejorar el rendimiento académico. Aprendizaje para el dominio y revisión y perspectiva ampliada a partir de trabajos francófonos.</w:t>
            </w:r>
          </w:p>
        </w:tc>
      </w:tr>
    </w:tbl>
    <w:p w:rsidR="00000000" w:rsidDel="00000000" w:rsidP="00000000" w:rsidRDefault="00000000" w:rsidRPr="00000000" w14:paraId="0000003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4-BIBLIOGRAFÍA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ANIJOVICH R.; GONZALEZ C. (2010)“Evaluar para aprender. Conceptos e instrumentos”. Ciudad de Buenos Aires: Aique. Introducción, Capitulo 1 y 2.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ANIJOVICH, R. comp. “La evaluación significativa”. Argentina: Paidós, 2010. Capítulo 2.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ARREDONDO, S. C., Diago, J. C., &amp; Cañizal, A. (2010). “Evaluación educativa de aprendizajes y competencias”. Pearson Educación.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BONVECCHIO M. (2004) “Evaluación de los aprendizajes”. Argentina: Novedades Educativas, EDIUNC, Novedades Educativas de México S.A. Capítulo 3, 4, 5.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ESQUIVEL, J. M. “Evaluación De Los Aprendizajes En El Aula: Una Conceptualización Renovada” en Avances y desafíos en la evaluación educativa. Metas educativas 2021. España: Organización de los Estados Iberoamericanos y Fundación Santillana, 2010. 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GUTIERREZ, N., &amp; MATILLA, M. (2004). Educación Basada en Competencias. Mendoza, UNCuyo. Proyecto de Articulación entre la UNCuyo y el Nivel Polimodal de la provincia de Mendoza.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BUJÁN VIDALES, K., REKALDE RODRÍGUEZ, I., &amp; ARAMENDI JAUREGUI, P. (2011). “La evaluación de competencias en la educación superior: Las rúbricas como instrumento de evaluación”. Alcalá de Guadaira: Mad.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PIZARRO, S. R. Y CLARK, L. S. (1979) “Diseño, elaboración y aplicación de tests educativos cognitivos”. Valparaíso: Universidad de Chile-Valparaíso, Facultad de Educación y Letras.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PUEYO, Á. P. (2013). “Programar y evaluar competencias básicas en 15 pasos” (Vol. 301). Graó.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ROMERO, L. R., &amp; GÓMEZ, J. L. L. (2014). Competencias Matemáticas Desde Una Perspectiva Curricular. Alianza Editorial.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SANCHEZ DE CONCATTI E.; INTELISANO S. (2012) “Evaluación como aprendizaje y para el aprendizaje”, Mendoza: Dirección General de Escuelas.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5-METODOLOGÍA DE ENSEÑANZA Y EVALUACIÓN DURANTE EL CURSADO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Aula taller: metodología basada en producciones orales y escritas a partir del análisis de viñetas, videos, lecturas, discusiones grupales. Planificación, diseño y elaboración de pruebas educativas.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Retroalimentación permanente en los procesos de planificación, diseño y elaboración de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propuesta de enseñanza y evaluación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. Presentación final de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propuesta de enseñanza y evaluación en el marco de la evaluación auténtica.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6- CONDICIONES DE REGULARIDAD TRAS EL CURSADO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El alumno debe asistir al 75% de las clases y aprobar las instancias parciales del diseño y elaboración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 la propuesta de enseñanza y evaluación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No se puede rendir en condición de libre.</w:t>
            </w:r>
          </w:p>
        </w:tc>
      </w:tr>
    </w:tbl>
    <w:p w:rsidR="00000000" w:rsidDel="00000000" w:rsidP="00000000" w:rsidRDefault="00000000" w:rsidRPr="00000000" w14:paraId="00000056">
      <w:pPr>
        <w:tabs>
          <w:tab w:val="left" w:pos="-1134"/>
          <w:tab w:val="left" w:pos="-720"/>
          <w:tab w:val="left" w:pos="-426"/>
          <w:tab w:val="left" w:pos="426"/>
        </w:tabs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1"/>
        <w:gridCol w:w="709"/>
        <w:gridCol w:w="708"/>
        <w:gridCol w:w="709"/>
        <w:gridCol w:w="709"/>
        <w:tblGridChange w:id="0">
          <w:tblGrid>
            <w:gridCol w:w="6521"/>
            <w:gridCol w:w="709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5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i w:val="0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7- SISTEMA DE APROBACIÓN Y/O PROMOCIÓN DEL ESPACIO CURRICULAR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Aprobación de la producción final del instrumento de evaluación planificado.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PROMOCIONABLE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20"/>
        <w:jc w:val="right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rtl w:val="0"/>
        </w:rPr>
        <w:t xml:space="preserve">Sandra Intelisano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1619250</wp:posOffset>
            </wp:positionH>
            <wp:positionV relativeFrom="paragraph">
              <wp:posOffset>191784</wp:posOffset>
            </wp:positionV>
            <wp:extent cx="1560830" cy="120078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200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2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FIRMA Y ACLARACIÓN </w:t>
      </w:r>
    </w:p>
    <w:p w:rsidR="00000000" w:rsidDel="00000000" w:rsidP="00000000" w:rsidRDefault="00000000" w:rsidRPr="00000000" w14:paraId="0000006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DEL RESPONSABLE DEL ESPACIO CURRICULAR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7" w:w="11905" w:orient="portrait"/>
      <w:pgMar w:bottom="1134" w:top="2268" w:left="1418" w:right="1418" w:header="851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jc w:val="center"/>
      <w:rPr>
        <w:sz w:val="16"/>
        <w:szCs w:val="16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ab/>
    </w:r>
    <w:r w:rsidDel="00000000" w:rsidR="00000000" w:rsidRPr="00000000">
      <w:rPr>
        <w:sz w:val="16"/>
        <w:szCs w:val="16"/>
        <w:vertAlign w:val="baseline"/>
        <w:rtl w:val="0"/>
      </w:rPr>
      <w:t xml:space="preserve">Padre Jorge Contreras 1300, Parque General San Martín, Mendoza C.P. 5500</w:t>
    </w:r>
  </w:p>
  <w:p w:rsidR="00000000" w:rsidDel="00000000" w:rsidP="00000000" w:rsidRDefault="00000000" w:rsidRPr="00000000" w14:paraId="0000006F">
    <w:pPr>
      <w:jc w:val="center"/>
      <w:rPr>
        <w:rFonts w:ascii="Tahoma" w:cs="Tahoma" w:eastAsia="Tahoma" w:hAnsi="Tahoma"/>
        <w:sz w:val="16"/>
        <w:szCs w:val="16"/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Teléfonos </w:t>
    </w:r>
    <w:r w:rsidDel="00000000" w:rsidR="00000000" w:rsidRPr="00000000">
      <w:rPr>
        <w:b w:val="1"/>
        <w:sz w:val="16"/>
        <w:szCs w:val="16"/>
        <w:vertAlign w:val="baseline"/>
        <w:rtl w:val="0"/>
      </w:rPr>
      <w:t xml:space="preserve">+54-0261-4236003</w:t>
    </w:r>
    <w:r w:rsidDel="00000000" w:rsidR="00000000" w:rsidRPr="00000000">
      <w:rPr>
        <w:sz w:val="16"/>
        <w:szCs w:val="16"/>
        <w:vertAlign w:val="baseline"/>
        <w:rtl w:val="0"/>
      </w:rPr>
      <w:t xml:space="preserve"> /</w:t>
    </w:r>
    <w:r w:rsidDel="00000000" w:rsidR="00000000" w:rsidRPr="00000000">
      <w:rPr>
        <w:b w:val="1"/>
        <w:sz w:val="16"/>
        <w:szCs w:val="16"/>
        <w:vertAlign w:val="baseline"/>
        <w:rtl w:val="0"/>
      </w:rPr>
      <w:t xml:space="preserve"> 4290824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36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114300" distR="114300">
          <wp:extent cx="5399405" cy="526415"/>
          <wp:effectExtent b="0" l="0" r="0" t="0"/>
          <wp:docPr descr="C:\Users\FAMILIA\Desktop\logo 2021.jpg" id="2" name="image2.jpg"/>
          <a:graphic>
            <a:graphicData uri="http://schemas.openxmlformats.org/drawingml/2006/picture">
              <pic:pic>
                <pic:nvPicPr>
                  <pic:cNvPr descr="C:\Users\FAMILIA\Desktop\logo 2021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405" cy="526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noProof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Arial" w:cs="Arial" w:hAnsi="Arial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Arial" w:cs="Arial" w:hAnsi="Arial"/>
      <w:b w:val="1"/>
      <w:bCs w:val="1"/>
      <w:i w:val="1"/>
      <w:i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suppressAutoHyphens w:val="1"/>
      <w:autoSpaceDE w:val="0"/>
      <w:autoSpaceDN w:val="0"/>
      <w:adjustRightInd w:val="1"/>
      <w:spacing w:before="12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Arial" w:cs="Arial" w:hAnsi="Arial"/>
      <w:b w:val="1"/>
      <w:bCs w:val="1"/>
      <w:i w:val="1"/>
      <w:iCs w:val="1"/>
      <w:w w:val="100"/>
      <w:position w:val="-1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Arial" w:cs="Arial" w:hAnsi="Arial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Arial" w:cs="Arial" w:hAnsi="Arial"/>
      <w:b w:val="1"/>
      <w:bCs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rFonts w:ascii="Arial" w:cs="Arial" w:hAnsi="Arial"/>
      <w:b w:val="1"/>
      <w:bCs w:val="1"/>
      <w:i w:val="1"/>
      <w:i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s-ES" w:val="es-ES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before="120" w:line="1" w:lineRule="atLeast"/>
      <w:ind w:leftChars="-1" w:rightChars="0" w:firstLineChars="-1"/>
      <w:jc w:val="right"/>
      <w:textDirection w:val="btLr"/>
      <w:textAlignment w:val="top"/>
      <w:outlineLvl w:val="7"/>
    </w:pPr>
    <w:rPr>
      <w:rFonts w:ascii="Arial" w:hAnsi="Arial"/>
      <w:b w:val="1"/>
      <w:i w:val="1"/>
      <w:w w:val="100"/>
      <w:position w:val="-1"/>
      <w:sz w:val="16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Ref.denotaalpie">
    <w:name w:val="Ref. de nota al pie"/>
    <w:next w:val="Ref.denotaalpi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widowControl w:val="1"/>
      <w:suppressAutoHyphens w:val="1"/>
      <w:autoSpaceDE w:val="0"/>
      <w:autoSpaceDN w:val="0"/>
      <w:adjustRightInd w:val="0"/>
      <w:spacing w:before="187" w:line="259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2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0"/>
    <w:pPr>
      <w:widowControl w:val="1"/>
      <w:suppressAutoHyphens w:val="1"/>
      <w:autoSpaceDE w:val="0"/>
      <w:autoSpaceDN w:val="0"/>
      <w:adjustRightInd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i w:val="1"/>
      <w:iCs w:val="1"/>
      <w:w w:val="100"/>
      <w:position w:val="-1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angría3det.independiente">
    <w:name w:val="Sangría 3 de t. independiente"/>
    <w:basedOn w:val="Normal"/>
    <w:next w:val="Sangría3det.independiente"/>
    <w:autoRedefine w:val="0"/>
    <w:hidden w:val="0"/>
    <w:qFormat w:val="0"/>
    <w:pPr>
      <w:widowControl w:val="1"/>
      <w:suppressAutoHyphens w:val="1"/>
      <w:autoSpaceDE w:val="1"/>
      <w:autoSpaceDN w:val="1"/>
      <w:adjustRightInd w:val="1"/>
      <w:spacing w:line="1" w:lineRule="atLeast"/>
      <w:ind w:left="567" w:leftChars="-1" w:rightChars="0" w:hanging="567" w:firstLineChars="-1"/>
      <w:jc w:val="both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rFonts w:ascii="Courier New" w:hAnsi="Courier New"/>
      <w:w w:val="100"/>
      <w:position w:val="-1"/>
      <w:szCs w:val="24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Ref.decomentario">
    <w:name w:val="Ref. de comentario"/>
    <w:next w:val="Ref.decomentario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 w:eastAsia="es-ES" w:val="es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b w:val="1"/>
      <w:bCs w:val="1"/>
      <w:w w:val="100"/>
      <w:position w:val="-1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rFonts w:ascii="Courier New" w:hAnsi="Courier New"/>
      <w:b w:val="1"/>
      <w:bCs w:val="1"/>
      <w:w w:val="100"/>
      <w:position w:val="-1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lMAjuOr0xGyjUTA4CGGGbNVH3w==">AMUW2mXMfVnZ0sZxLNRL2Lr+cP8KiULhXKChpvdygjuDKM5RP+f6azjyP0upSSjU6scksTDVPm02MjKpyWOPV8svr6j4dA9Qnt64V4NDVxNaXSgHYxneJEsUAZlvI57YNkHb1qgo8s9d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2017-08-08T16:51:00Z</dcterms:created>
  <dc:creator>Francisco Crisafulli</dc:creator>
</cp:coreProperties>
</file>