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4.0" w:type="dxa"/>
        <w:jc w:val="left"/>
        <w:tblInd w:w="5.0" w:type="dxa"/>
        <w:tblLayout w:type="fixed"/>
        <w:tblLook w:val="0000"/>
      </w:tblPr>
      <w:tblGrid>
        <w:gridCol w:w="2410"/>
        <w:gridCol w:w="77"/>
        <w:gridCol w:w="3358"/>
        <w:gridCol w:w="979"/>
        <w:gridCol w:w="2520"/>
        <w:tblGridChange w:id="0">
          <w:tblGrid>
            <w:gridCol w:w="2410"/>
            <w:gridCol w:w="77"/>
            <w:gridCol w:w="3358"/>
            <w:gridCol w:w="979"/>
            <w:gridCol w:w="2520"/>
          </w:tblGrid>
        </w:tblGridChange>
      </w:tblGrid>
      <w:tr>
        <w:trPr>
          <w:cantSplit w:val="1"/>
          <w:trHeight w:val="422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after="60" w:before="6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PROGRAMA - AÑO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Espacio Curricular: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Taller de Deontología y Legislación Profesional del Biólogo</w:t>
            </w:r>
          </w:p>
        </w:tc>
      </w:tr>
      <w:tr>
        <w:trPr>
          <w:cantSplit w:val="1"/>
          <w:trHeight w:val="34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Carácter: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Electivo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Período: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2° Semestre</w:t>
            </w:r>
          </w:p>
        </w:tc>
      </w:tr>
      <w:tr>
        <w:trPr>
          <w:cantSplit w:val="1"/>
          <w:trHeight w:val="34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Carrera/s: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Licenciatura en Ciencias Básicas con orientación en Biología</w:t>
            </w:r>
          </w:p>
        </w:tc>
      </w:tr>
      <w:tr>
        <w:trPr>
          <w:cantSplit w:val="1"/>
          <w:trHeight w:val="34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Profesor Responsable: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Fiorella Campo Verde Arbocco</w:t>
            </w:r>
          </w:p>
        </w:tc>
      </w:tr>
      <w:tr>
        <w:trPr>
          <w:cantSplit w:val="1"/>
          <w:trHeight w:val="34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Equipo Docente: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María Belen Hapón – Lourdes Ines Pascual</w:t>
            </w:r>
          </w:p>
        </w:tc>
      </w:tr>
      <w:tr>
        <w:trPr>
          <w:cantSplit w:val="1"/>
          <w:trHeight w:val="56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Carga Horaria: 32 hs (20 Hs Teóricas; 12 Hs de trabajo autónomo)</w:t>
            </w:r>
          </w:p>
        </w:tc>
      </w:tr>
      <w:tr>
        <w:trPr>
          <w:cantSplit w:val="1"/>
          <w:trHeight w:val="5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Recomendaciones de Cursado: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Para estudiantes avanzados de la orientación en Biología. </w:t>
            </w:r>
          </w:p>
        </w:tc>
      </w:tr>
    </w:tbl>
    <w:p w:rsidR="00000000" w:rsidDel="00000000" w:rsidP="00000000" w:rsidRDefault="00000000" w:rsidRPr="00000000" w14:paraId="0000002A">
      <w:pPr>
        <w:widowControl w:val="0"/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6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1"/>
              <w:widowControl w:val="0"/>
              <w:tabs>
                <w:tab w:val="left" w:leader="none" w:pos="-1134"/>
                <w:tab w:val="left" w:leader="none" w:pos="-720"/>
                <w:tab w:val="left" w:leader="none" w:pos="0"/>
                <w:tab w:val="left" w:leader="none" w:pos="720"/>
                <w:tab w:val="left" w:leader="none" w:pos="1303"/>
                <w:tab w:val="left" w:leader="none" w:pos="2160"/>
              </w:tabs>
              <w:spacing w:after="0" w:line="200" w:lineRule="auto"/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1"/>
              <w:widowControl w:val="0"/>
              <w:tabs>
                <w:tab w:val="left" w:leader="none" w:pos="-1134"/>
                <w:tab w:val="left" w:leader="none" w:pos="-720"/>
                <w:tab w:val="left" w:leader="none" w:pos="0"/>
                <w:tab w:val="left" w:leader="none" w:pos="720"/>
                <w:tab w:val="left" w:leader="none" w:pos="1303"/>
                <w:tab w:val="left" w:leader="none" w:pos="2160"/>
              </w:tabs>
              <w:spacing w:after="0" w:line="20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1-EXPECTATIVAS DE LOGRO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ind w:hanging="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Instruir a profesionales y estudiantes de nivel superior en lo referente a los deberes y obligaciones morales de su profesión, a la legislación vigente y a los procedimientos involucrados en el ejercicio de su profesión tanto en un ámbito privado como público.</w:t>
            </w:r>
          </w:p>
          <w:p w:rsidR="00000000" w:rsidDel="00000000" w:rsidP="00000000" w:rsidRDefault="00000000" w:rsidRPr="00000000" w14:paraId="0000002E">
            <w:pPr>
              <w:ind w:hanging="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Consolidar el conocimiento sobre el marco regulatorio y de responsabilidad legal para el ejercicio de la Biología en Argentina, tanto en investigación, peritajes, como en laboratorios públicos o privados. </w:t>
            </w:r>
          </w:p>
          <w:p w:rsidR="00000000" w:rsidDel="00000000" w:rsidP="00000000" w:rsidRDefault="00000000" w:rsidRPr="00000000" w14:paraId="0000002F">
            <w:pPr>
              <w:ind w:hanging="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Adquirir las herramientas que cruzan el derecho constitucional, ambiental, laboral, civil y penal con la normativa técnica de bioseguridad, laboratorios (POEs, ISO) y el ejercicio profesional de las ciencias biológicas. </w:t>
            </w:r>
          </w:p>
        </w:tc>
      </w:tr>
    </w:tbl>
    <w:p w:rsidR="00000000" w:rsidDel="00000000" w:rsidP="00000000" w:rsidRDefault="00000000" w:rsidRPr="00000000" w14:paraId="00000030">
      <w:pPr>
        <w:keepNext w:val="1"/>
        <w:widowControl w:val="0"/>
        <w:tabs>
          <w:tab w:val="left" w:leader="none" w:pos="-1134"/>
          <w:tab w:val="left" w:leader="none" w:pos="-720"/>
          <w:tab w:val="left" w:leader="none" w:pos="0"/>
          <w:tab w:val="left" w:leader="none" w:pos="720"/>
          <w:tab w:val="left" w:leader="none" w:pos="1303"/>
          <w:tab w:val="left" w:leader="none" w:pos="2160"/>
        </w:tabs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6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1"/>
              <w:widowControl w:val="0"/>
              <w:tabs>
                <w:tab w:val="left" w:leader="none" w:pos="-1134"/>
                <w:tab w:val="left" w:leader="none" w:pos="-720"/>
                <w:tab w:val="left" w:leader="none" w:pos="0"/>
                <w:tab w:val="left" w:leader="none" w:pos="720"/>
                <w:tab w:val="left" w:leader="none" w:pos="1303"/>
                <w:tab w:val="left" w:leader="none" w:pos="2160"/>
              </w:tabs>
              <w:spacing w:after="0" w:line="200" w:lineRule="auto"/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1"/>
              <w:widowControl w:val="0"/>
              <w:tabs>
                <w:tab w:val="left" w:leader="none" w:pos="-1134"/>
                <w:tab w:val="left" w:leader="none" w:pos="-720"/>
                <w:tab w:val="left" w:leader="none" w:pos="0"/>
                <w:tab w:val="left" w:leader="none" w:pos="720"/>
                <w:tab w:val="left" w:leader="none" w:pos="1303"/>
                <w:tab w:val="left" w:leader="none" w:pos="2160"/>
              </w:tabs>
              <w:spacing w:after="0" w:line="20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2-DESCRIPTORES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tabs>
                <w:tab w:val="left" w:leader="none" w:pos="567"/>
              </w:tabs>
              <w:spacing w:after="120" w:before="120" w:line="276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Deontología y legislación profesional. Marco constitucional y derecho ambiental. Regulación legal del ejercicio del biólogo. Colegiación, matriculación e incumbencias profesionales. Higiene, seguridad laboral y bioseguridad. Gestión del riesgo en laboratorios y campo. Manejo de residuos patogénicos y peligrosos. Informes técnicos y dictámenes periciales. Responsabilidad civil, penal y ética. Sistemas de gestión de calidad y certificación</w:t>
            </w:r>
          </w:p>
        </w:tc>
      </w:tr>
    </w:tbl>
    <w:p w:rsidR="00000000" w:rsidDel="00000000" w:rsidP="00000000" w:rsidRDefault="00000000" w:rsidRPr="00000000" w14:paraId="00000034">
      <w:pPr>
        <w:widowControl w:val="0"/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56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1"/>
              <w:widowControl w:val="0"/>
              <w:tabs>
                <w:tab w:val="left" w:leader="none" w:pos="-1134"/>
                <w:tab w:val="left" w:leader="none" w:pos="-720"/>
                <w:tab w:val="left" w:leader="none" w:pos="0"/>
                <w:tab w:val="left" w:leader="none" w:pos="720"/>
                <w:tab w:val="left" w:leader="none" w:pos="1303"/>
                <w:tab w:val="left" w:leader="none" w:pos="2160"/>
              </w:tabs>
              <w:spacing w:after="0" w:line="200" w:lineRule="auto"/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1"/>
              <w:widowControl w:val="0"/>
              <w:spacing w:after="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3-CONTENIDOS ANALÍTICOS </w:t>
            </w:r>
          </w:p>
          <w:p w:rsidR="00000000" w:rsidDel="00000000" w:rsidP="00000000" w:rsidRDefault="00000000" w:rsidRPr="00000000" w14:paraId="00000037">
            <w:pPr>
              <w:keepNext w:val="1"/>
              <w:widowControl w:val="0"/>
              <w:spacing w:after="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u w:val="single"/>
                <w:rtl w:val="0"/>
              </w:rPr>
              <w:t xml:space="preserve">TEMA 1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Deontología profesional. Colegiación y FAPBIO</w:t>
            </w:r>
          </w:p>
          <w:p w:rsidR="00000000" w:rsidDel="00000000" w:rsidP="00000000" w:rsidRDefault="00000000" w:rsidRPr="00000000" w14:paraId="00000038">
            <w:pPr>
              <w:keepNext w:val="1"/>
              <w:widowControl w:val="0"/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Definición y objetivo. Diferencias claves entre deontología y legislación. Presentación del marco constitucional argentino y los derechos ambientales: Articulo 41 de la constitución y el derecho a un ambiente sano [1, 2, 3, 4]. Leyes nacionales y provinciales que regulan el ejercicio profesional del Biólogo: Regulación de alcance nacional [5, 6], colegiación en diferentes provincias [7, 8, 9, 10, 11, 12, 13, 14]. Coordinación Interjurisdiccional: Federación Argentina de Profesionales en Biología (FAPBIO), origen, institucionalidad, objetivos, funciones, colegios y asociaciones que lo conforman [5]. El rol de los colegios profesionales y la matriculación. Funciones: matriculación y control, ética profesional, regulación laboral, defensa de incumbencias y capacitación [15, 16].</w:t>
            </w:r>
          </w:p>
          <w:p w:rsidR="00000000" w:rsidDel="00000000" w:rsidP="00000000" w:rsidRDefault="00000000" w:rsidRPr="00000000" w14:paraId="00000039">
            <w:pPr>
              <w:keepNext w:val="1"/>
              <w:widowControl w:val="0"/>
              <w:spacing w:after="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u w:val="single"/>
                <w:rtl w:val="0"/>
              </w:rPr>
              <w:t xml:space="preserve">TEMA 2.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Higiene, Seguridad y Bioseguridad</w:t>
            </w:r>
          </w:p>
          <w:p w:rsidR="00000000" w:rsidDel="00000000" w:rsidP="00000000" w:rsidRDefault="00000000" w:rsidRPr="00000000" w14:paraId="0000003A">
            <w:pPr>
              <w:keepNext w:val="1"/>
              <w:widowControl w:val="0"/>
              <w:spacing w:after="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Normativas vigentes y marco general de higiene y seguridad laboral [17, 18]. Enfermedades Profesionales [19]. Regulación técnica de las actividades en laboratorios biológicos, disposiciones sectoriales [20]. Resoluciones del Ministerio de Salud [21]. Adopción del Manual de Bioseguridad en el Laboratorio (OMS). Niveles de Bioseguridad del 1 al 4 (BSL-1 a BSL-4) [22]. Uso de animales de laboratorio para investigación y los marcos de los Comités Institucionales de Cuidado y Uso de Animales de Laboratorio (CICUAL) [23, 24, 25]. Gestión del riesgo en laboratorios, bioterios y trabajo de campo [26]. Laboratorios clínicos, de Investigación y de Desarrollo. Evaluación de Riesgo Dinámica: Guías de la Asociación Argentina de Microbiología [27]. Barreras de Contención. Institutos de Investigación como CONICET/Universidades: POEs [28]. Trabajo de Campo: Zoonosis endémicas y vectores, medidas de Mitigación en terreno. Logística de primeros auxilios. Vacunación preventiva [29, 30]. Protocolos de manejo de residuos patogénicos y químicos peligrosos. Seguridad en radioprotección y reactivos químicos. Sistema Globalmente Armonizado (SGA / GHS) [31, 32].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1"/>
              <w:widowControl w:val="0"/>
              <w:spacing w:after="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u w:val="single"/>
                <w:rtl w:val="0"/>
              </w:rPr>
              <w:t xml:space="preserve">TEMA 3.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Informes Técnicos y Peritajes </w:t>
            </w:r>
          </w:p>
          <w:p w:rsidR="00000000" w:rsidDel="00000000" w:rsidP="00000000" w:rsidRDefault="00000000" w:rsidRPr="00000000" w14:paraId="0000003C">
            <w:pPr>
              <w:keepNext w:val="1"/>
              <w:widowControl w:val="0"/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Estructura de un informe técnico y dictamen pericial: el Informe Técnico, el Dictamen Pericial y el Código Procesal Civil y Comercial de la Nación [33]. Estructura y partes del informe técnico. Responsabilidad civil y penal del biólogo al firmar un documento: Responsabilidad Civil: La obligación de reparar el daño, naturaleza de la obligación. Factores de atribución, imprudencia, negligencia e impericia [34, 35]. El daño ambiental colectivo y la Ley General del Ambiente [36]. Responsabilidad penal: Delitos y Penas de Prisión. Los delitos más comunes en los que puede incurrir el ejercicio biológico: Falso testimonio/peritaje falso. Falsedad Ideológica, delitos contra la salud pública, ejercicio Ilegal de la profesión. </w:t>
            </w:r>
          </w:p>
          <w:p w:rsidR="00000000" w:rsidDel="00000000" w:rsidP="00000000" w:rsidRDefault="00000000" w:rsidRPr="00000000" w14:paraId="0000003D">
            <w:pPr>
              <w:keepNext w:val="1"/>
              <w:widowControl w:val="0"/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Responsabilidad ético-disciplinaria, multas institucionales, suspensión de la matrícula, cancelación de la matrícula. Herramientas de protección legal para el biólogo: seguros de responsabilidad civil profesional (Mala Praxis), cláusulas de Indemnidad o limitación de responsabilidad [37, 35].  </w:t>
            </w:r>
          </w:p>
          <w:p w:rsidR="00000000" w:rsidDel="00000000" w:rsidP="00000000" w:rsidRDefault="00000000" w:rsidRPr="00000000" w14:paraId="0000003E">
            <w:pPr>
              <w:keepNext w:val="1"/>
              <w:widowControl w:val="0"/>
              <w:spacing w:after="0" w:lineRule="auto"/>
              <w:jc w:val="both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1"/>
              <w:widowControl w:val="0"/>
              <w:spacing w:after="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u w:val="single"/>
                <w:rtl w:val="0"/>
              </w:rPr>
              <w:t xml:space="preserve">TEMA 4.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Gestión, Certificación y Evaluación Final</w:t>
            </w:r>
          </w:p>
          <w:p w:rsidR="00000000" w:rsidDel="00000000" w:rsidP="00000000" w:rsidRDefault="00000000" w:rsidRPr="00000000" w14:paraId="00000040">
            <w:pPr>
              <w:keepNext w:val="1"/>
              <w:widowControl w:val="0"/>
              <w:spacing w:after="0" w:lineRule="auto"/>
              <w:jc w:val="both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Introducción a los sistemas de gestión de calidad y normativas de certificación: Normas ISO aplicadas. Trazabilidad, procedimientos operativos estandarizados (POEs / SOPs), acciones Correctivas y Preventivas (CAPA) [38, 39]. ISO 9001, ISO/IEC 17025, ISO 15189, ISO 14001, ISO 35001 [40, 41].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1"/>
              <w:widowControl w:val="0"/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bookmark=id.e6a3b4dq14z7" w:id="0"/>
    <w:bookmarkEnd w:id="0"/>
    <w:bookmarkStart w:colFirst="0" w:colLast="0" w:name="bookmark=id.y7aa5lunz5vy" w:id="1"/>
    <w:bookmarkEnd w:id="1"/>
    <w:p w:rsidR="00000000" w:rsidDel="00000000" w:rsidP="00000000" w:rsidRDefault="00000000" w:rsidRPr="00000000" w14:paraId="00000042">
      <w:pPr>
        <w:widowControl w:val="0"/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56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1"/>
              <w:widowControl w:val="0"/>
              <w:tabs>
                <w:tab w:val="left" w:leader="none" w:pos="-1134"/>
                <w:tab w:val="left" w:leader="none" w:pos="-720"/>
                <w:tab w:val="left" w:leader="none" w:pos="0"/>
                <w:tab w:val="left" w:leader="none" w:pos="720"/>
                <w:tab w:val="left" w:leader="none" w:pos="1303"/>
                <w:tab w:val="left" w:leader="none" w:pos="2160"/>
              </w:tabs>
              <w:spacing w:after="0" w:line="200" w:lineRule="auto"/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4-BIBLIOGRAFÍA </w:t>
            </w:r>
          </w:p>
          <w:p w:rsidR="00000000" w:rsidDel="00000000" w:rsidP="00000000" w:rsidRDefault="00000000" w:rsidRPr="00000000" w14:paraId="00000045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Bibliografía Básica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[1] Constitución de la Nación Argentina. (1994). Artículo 41 [Derecho a un ambiente sano]. Ley de Reforma Constitucional de 1994.</w:t>
            </w:r>
          </w:p>
          <w:p w:rsidR="00000000" w:rsidDel="00000000" w:rsidP="00000000" w:rsidRDefault="00000000" w:rsidRPr="00000000" w14:paraId="00000047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[4]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Federación Argentina de Graduados en Ciencias Biológicas (FAPBIO). (s.f.). Estatuto Fundacional, objetivos y funciones institucionales. http://www.fapbio.org.ar</w:t>
            </w:r>
          </w:p>
          <w:p w:rsidR="00000000" w:rsidDel="00000000" w:rsidP="00000000" w:rsidRDefault="00000000" w:rsidRPr="00000000" w14:paraId="00000048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[5] Leyes de Presupuestos Mínimos de Protección Ambiental (Ley Nacional Nº 25.675 - Ley General del Ambiente). (2002). Boletín Oficial de la República Argentina.</w:t>
            </w:r>
          </w:p>
          <w:p w:rsidR="00000000" w:rsidDel="00000000" w:rsidP="00000000" w:rsidRDefault="00000000" w:rsidRPr="00000000" w14:paraId="00000049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[6] Ley Provincial Nº 10.353.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4"/>
                <w:szCs w:val="24"/>
                <w:rtl w:val="0"/>
              </w:rPr>
              <w:t xml:space="preserve">Creación del Consejo Profesional de Ciencias Naturales de la Provincia de Buenos Aires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[7] Ley Provincial Nº 7.948.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4"/>
                <w:szCs w:val="24"/>
                <w:rtl w:val="0"/>
              </w:rPr>
              <w:t xml:space="preserve">Ejercicio de la profesión de Biólogo y creación del Colegio de Biólogos de la Provincia de Córdoba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B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[8] Ley Provincial Nº 11.034.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4"/>
                <w:szCs w:val="24"/>
                <w:rtl w:val="0"/>
              </w:rPr>
              <w:t xml:space="preserve">Creación del Colegio de Profesionales en Ciencias Biológicas de la Provincia de Santa Fe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[9] Ley Provincial Nº 8.348/22.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4"/>
                <w:szCs w:val="24"/>
                <w:rtl w:val="0"/>
              </w:rPr>
              <w:t xml:space="preserve">Regulación del ejercicio profesional y creación del Consejo Profesional de Biólogos, Biotecnólogos, Genetistas y profesiones afines de Salta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4D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[10] Ley Provincial Nº 1948-A (Anterior Ley 7824).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4"/>
                <w:szCs w:val="24"/>
                <w:rtl w:val="0"/>
              </w:rPr>
              <w:t xml:space="preserve">Creación del Colegio de Profesionales en Ciencias Biológicas de San Juan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E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[11] Ley Provincial Nº 6.573.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4"/>
                <w:szCs w:val="24"/>
                <w:rtl w:val="0"/>
              </w:rPr>
              <w:t xml:space="preserve">Creación del Colegio de Graduados en Ciencias Biológicas de Corrientes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F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[12] Ley Provincial Nº 5.205.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4"/>
                <w:szCs w:val="24"/>
                <w:rtl w:val="0"/>
              </w:rPr>
              <w:t xml:space="preserve">Creación del Colegio Profesional de Ciencias Biológicas de Catamarca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50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[13] Ley Provincial Nº 5.803.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4"/>
                <w:szCs w:val="24"/>
                <w:rtl w:val="0"/>
              </w:rPr>
              <w:t xml:space="preserve">Creación del Colegio de Graduados en Ciencias Biológicas de Tucumán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51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[14] Andruet, A. S. (h). (2011).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4"/>
                <w:szCs w:val="24"/>
                <w:rtl w:val="0"/>
              </w:rPr>
              <w:t xml:space="preserve">Códigos de ética profesional. Su estructura y función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. Academia Nacional de Derecho y Ciencias Sociales de Córdoba.</w:t>
            </w:r>
          </w:p>
          <w:p w:rsidR="00000000" w:rsidDel="00000000" w:rsidP="00000000" w:rsidRDefault="00000000" w:rsidRPr="00000000" w14:paraId="00000052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[15] Ministerio de Educación de la Nación Argentina. (Resoluciones vigentes sobre incumbencias profesionales del título de Licenciado en Ciencias Biológicas / Biólogo).</w:t>
            </w:r>
          </w:p>
          <w:p w:rsidR="00000000" w:rsidDel="00000000" w:rsidP="00000000" w:rsidRDefault="00000000" w:rsidRPr="00000000" w14:paraId="00000053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[16] Ley Nº 19.587. (1972).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4"/>
                <w:szCs w:val="24"/>
                <w:rtl w:val="0"/>
              </w:rPr>
              <w:t xml:space="preserve">Ley de Higiene y Seguridad en el Trabajo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. Boletín Oficial de la República Argentina.</w:t>
            </w:r>
          </w:p>
          <w:p w:rsidR="00000000" w:rsidDel="00000000" w:rsidP="00000000" w:rsidRDefault="00000000" w:rsidRPr="00000000" w14:paraId="00000054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[17] Decreto Reglamentario Nº 351/79. (1979). Reglamento de la Ley Nº 19.587 de Higiene y Seguridad en el Trabajo. Boletín Oficial de la República Argentina.</w:t>
            </w:r>
          </w:p>
          <w:p w:rsidR="00000000" w:rsidDel="00000000" w:rsidP="00000000" w:rsidRDefault="00000000" w:rsidRPr="00000000" w14:paraId="00000055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[18] Decreto Nº 658/96. (1996).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4"/>
                <w:szCs w:val="24"/>
                <w:rtl w:val="0"/>
              </w:rPr>
              <w:t xml:space="preserve">Listado de Enfermedades Profesionales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. Boletín Oficial de la República Argentina.</w:t>
            </w:r>
          </w:p>
          <w:p w:rsidR="00000000" w:rsidDel="00000000" w:rsidP="00000000" w:rsidRDefault="00000000" w:rsidRPr="00000000" w14:paraId="00000056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[19] Organización Internacional de Normalización (ISO). (2019).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4"/>
                <w:szCs w:val="24"/>
                <w:rtl w:val="0"/>
              </w:rPr>
              <w:t xml:space="preserve">Gestión del riesgo biológico para laboratorios y otras organizaciones relacionadas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(Norma ISO 35001:2019).</w:t>
            </w:r>
          </w:p>
          <w:p w:rsidR="00000000" w:rsidDel="00000000" w:rsidP="00000000" w:rsidRDefault="00000000" w:rsidRPr="00000000" w14:paraId="00000057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[20] Resolución Nº 200/2012. (2012).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4"/>
                <w:szCs w:val="24"/>
                <w:rtl w:val="0"/>
              </w:rPr>
              <w:t xml:space="preserve">Directrices de Organización y Funcionamiento de las Áreas de Microbiología de los Laboratorios de Análisis Clínicos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. Ministerio de Salud de la Nación Argentina.</w:t>
            </w:r>
          </w:p>
          <w:p w:rsidR="00000000" w:rsidDel="00000000" w:rsidP="00000000" w:rsidRDefault="00000000" w:rsidRPr="00000000" w14:paraId="00000058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[21] Organización Mundial de la Salud (OMS). (2020).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4"/>
                <w:szCs w:val="24"/>
                <w:rtl w:val="0"/>
              </w:rPr>
              <w:t xml:space="preserve">Manual de bioseguridad en el laboratorio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(4ta ed.). Organización Mundial de la Salud.</w:t>
            </w:r>
          </w:p>
          <w:p w:rsidR="00000000" w:rsidDel="00000000" w:rsidP="00000000" w:rsidRDefault="00000000" w:rsidRPr="00000000" w14:paraId="00000059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[22] National Research Council. (2011).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4"/>
                <w:szCs w:val="24"/>
                <w:rtl w:val="0"/>
              </w:rPr>
              <w:t xml:space="preserve">Guía para el cuidado y uso de animales de laboratorio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. The National Academies Press.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4"/>
                <w:szCs w:val="24"/>
                <w:rtl w:val="0"/>
              </w:rPr>
              <w:t xml:space="preserve">(Traducida y adaptada habitualmente por los CICUAL locales)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5A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[24] Marcos regulatorios institucionales de los Comités Institucionales de Cuidado y Uso de Animales de Laboratorio (CICUAL). (Documentos internos de referencia de Universidades Nacionales y CONICET).</w:t>
            </w:r>
          </w:p>
          <w:p w:rsidR="00000000" w:rsidDel="00000000" w:rsidP="00000000" w:rsidRDefault="00000000" w:rsidRPr="00000000" w14:paraId="0000005B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[25] ISO 35001:2019 (traducción oficial) Gestión del riesgo biológico en laboratorios y otras organizaciones relacionadas</w:t>
            </w:r>
          </w:p>
          <w:p w:rsidR="00000000" w:rsidDel="00000000" w:rsidP="00000000" w:rsidRDefault="00000000" w:rsidRPr="00000000" w14:paraId="0000005C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[26] Asociación Argentina de Microbiología (AAM). (s.f.).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4"/>
                <w:szCs w:val="24"/>
                <w:rtl w:val="0"/>
              </w:rPr>
              <w:t xml:space="preserve">Guías y recomendaciones para la evaluación de riesgos biológicos en el laboratorio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. Comisión de Bioseguridad de la AAM.</w:t>
            </w:r>
          </w:p>
          <w:p w:rsidR="00000000" w:rsidDel="00000000" w:rsidP="00000000" w:rsidRDefault="00000000" w:rsidRPr="00000000" w14:paraId="0000005D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[27] Consejo Nacional de Investigaciones Científicas y Técnicas (CONICET). (Vigente).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4"/>
                <w:szCs w:val="24"/>
                <w:rtl w:val="0"/>
              </w:rPr>
              <w:t xml:space="preserve">Procedimientos Operativos Estandarizados (POEs) y Manual de Seguridad para Laboratorios de Investigación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. CONICET.</w:t>
            </w:r>
          </w:p>
          <w:p w:rsidR="00000000" w:rsidDel="00000000" w:rsidP="00000000" w:rsidRDefault="00000000" w:rsidRPr="00000000" w14:paraId="0000005E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[28] Ministerio de Salud de la Nación Argentina. (Vigente).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4"/>
                <w:szCs w:val="24"/>
                <w:rtl w:val="0"/>
              </w:rPr>
              <w:t xml:space="preserve">Guías epidemiológicas y protocolos de prevención de Zoonosis Endémicas (Hantavirus, Chagas, Dengue, Fiebre Hemorrágica Argentina)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. Dirección de Epidemiología.</w:t>
            </w:r>
          </w:p>
          <w:p w:rsidR="00000000" w:rsidDel="00000000" w:rsidP="00000000" w:rsidRDefault="00000000" w:rsidRPr="00000000" w14:paraId="0000005F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[29] Organización Panamericana de la Salud (OPS). (2022).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4"/>
                <w:szCs w:val="24"/>
                <w:rtl w:val="0"/>
              </w:rPr>
              <w:t xml:space="preserve">Manual de primeros auxilios y logística de emergencias en entornos rurales y de campo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. OPS.</w:t>
            </w:r>
          </w:p>
          <w:p w:rsidR="00000000" w:rsidDel="00000000" w:rsidP="00000000" w:rsidRDefault="00000000" w:rsidRPr="00000000" w14:paraId="00000060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[30] Decreto Nº 506/1995. (1995).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4"/>
                <w:szCs w:val="24"/>
                <w:rtl w:val="0"/>
              </w:rPr>
              <w:t xml:space="preserve">Regulación sobre radioprotección y uso seguro de fuentes de radiación ionizante y reactivos controlados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. Boletín Oficial de la República Argentina.</w:t>
            </w:r>
          </w:p>
          <w:p w:rsidR="00000000" w:rsidDel="00000000" w:rsidP="00000000" w:rsidRDefault="00000000" w:rsidRPr="00000000" w14:paraId="00000061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[31] Resolución SRT Nº 801/2015. (2015).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4"/>
                <w:szCs w:val="24"/>
                <w:rtl w:val="0"/>
              </w:rPr>
              <w:t xml:space="preserve">Implementación del Sistema Globalmente Armonizado de Clasificación y Etiquetado de Productos Químicos (SGA/GHS)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. Superintendencia de Riesgos del Trabajo.</w:t>
            </w:r>
          </w:p>
          <w:p w:rsidR="00000000" w:rsidDel="00000000" w:rsidP="00000000" w:rsidRDefault="00000000" w:rsidRPr="00000000" w14:paraId="00000062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[32] Código Procesal Civil y Comercial de la Nación [CPCCN]. (1981). Artículos 457 al 478 [Prueba de Peritos]. Ley Nº 22.434 y modificatorias. Boletín Oficial de la República Argentina.</w:t>
            </w:r>
          </w:p>
          <w:p w:rsidR="00000000" w:rsidDel="00000000" w:rsidP="00000000" w:rsidRDefault="00000000" w:rsidRPr="00000000" w14:paraId="00000063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[33] Código Civil y Comercial de la Nación [CCCN]. (2014). Artículo 1724 [Factores de atribución. Culpa y dolo], Artículo 1768 [Profesionales liberales]. Ley Nº 26.994. Boletín Oficial de la República Argentina.</w:t>
            </w:r>
          </w:p>
          <w:p w:rsidR="00000000" w:rsidDel="00000000" w:rsidP="00000000" w:rsidRDefault="00000000" w:rsidRPr="00000000" w14:paraId="00000064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[34] Código Penal de la Nación Argentina [CPN]. (1921). Artículo 247 [Ejercicio ilegal de una profesión], Artículo 275 [Falso testimonio y peritaje falso], Artículo 293 [Falsedad ideológica], y Artículos 200 al 208 [Delitos contra la salud pública]. Ley Nº 11.179 y modificatorias.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[35] Ley Nº 25.675. (2002).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4"/>
                <w:szCs w:val="24"/>
                <w:rtl w:val="0"/>
              </w:rPr>
              <w:t xml:space="preserve">Ley General del Ambiente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[Daño Ambiental Colectivo]. Boletín Oficial de la República Argentina.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[36] Andruet, A. S. (h). (2017).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4"/>
                <w:szCs w:val="24"/>
                <w:rtl w:val="0"/>
              </w:rPr>
              <w:t xml:space="preserve">Responsabilidad civil y penal de los profesionales de la salud y ciencias afines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. Alveroni Ediciones.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[37] Cambero, M. I. (2021).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4"/>
                <w:szCs w:val="24"/>
                <w:rtl w:val="0"/>
              </w:rPr>
              <w:t xml:space="preserve">Gestión de la calidad en laboratorios: Trazabilidad, POEs y el sistema CAPA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. Ediciones Díaz de Santos.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[38] Mauro, G. A. (2018).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4"/>
                <w:szCs w:val="24"/>
                <w:rtl w:val="0"/>
              </w:rPr>
              <w:t xml:space="preserve">Elaboración de Procedimientos Operativos Estandarizados (POEs) en entornos científicos e industriales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. Editorial Médica Panamericana.</w:t>
            </w:r>
          </w:p>
          <w:p w:rsidR="00000000" w:rsidDel="00000000" w:rsidP="00000000" w:rsidRDefault="00000000" w:rsidRPr="00000000" w14:paraId="00000069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[39] Instituto Argentino de Normalización y Certificación [IRAM]. (2018).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4"/>
                <w:szCs w:val="24"/>
                <w:rtl w:val="0"/>
              </w:rPr>
              <w:t xml:space="preserve">Requisitos generales para la competencia de los laboratorios de ensayo y calibración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(Norma IRAM-ISO/IEC 17025:2018).</w:t>
            </w:r>
          </w:p>
          <w:p w:rsidR="00000000" w:rsidDel="00000000" w:rsidP="00000000" w:rsidRDefault="00000000" w:rsidRPr="00000000" w14:paraId="0000006A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[40] Organización Internacional de Normalización [ISO]. (2019).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4"/>
                <w:szCs w:val="24"/>
                <w:rtl w:val="0"/>
              </w:rPr>
              <w:t xml:space="preserve">Gestión del riesgo biológico para laboratorios y otras organizaciones relacionadas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(Norma ISO 35001:2019).</w:t>
            </w:r>
          </w:p>
          <w:p w:rsidR="00000000" w:rsidDel="00000000" w:rsidP="00000000" w:rsidRDefault="00000000" w:rsidRPr="00000000" w14:paraId="0000006B">
            <w:pPr>
              <w:spacing w:after="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Bibliografía Complementaria</w:t>
            </w:r>
          </w:p>
          <w:p w:rsidR="00000000" w:rsidDel="00000000" w:rsidP="00000000" w:rsidRDefault="00000000" w:rsidRPr="00000000" w14:paraId="0000006D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[2]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Sabsay, D. A. (2002). El derecho ambiental en la Constitución Nacional.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4"/>
                <w:szCs w:val="24"/>
                <w:rtl w:val="0"/>
              </w:rPr>
              <w:t xml:space="preserve">Revista de Derecho Ambiental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, (1), 15-32.</w:t>
            </w:r>
          </w:p>
          <w:p w:rsidR="00000000" w:rsidDel="00000000" w:rsidP="00000000" w:rsidRDefault="00000000" w:rsidRPr="00000000" w14:paraId="0000006E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[3] Valls, M. F. (2016).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4"/>
                <w:szCs w:val="24"/>
                <w:rtl w:val="0"/>
              </w:rPr>
              <w:t xml:space="preserve">Derecho Ambiental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(4ta ed.). Ciudad Argentina</w:t>
            </w:r>
          </w:p>
          <w:p w:rsidR="00000000" w:rsidDel="00000000" w:rsidP="00000000" w:rsidRDefault="00000000" w:rsidRPr="00000000" w14:paraId="0000006F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[23] Resolución Nº 617/2002. (2002).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4"/>
                <w:szCs w:val="24"/>
                <w:rtl w:val="0"/>
              </w:rPr>
              <w:t xml:space="preserve">Normas de Bioseguridad para el manejo de animales de laboratorio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. Servicio Nacional de Sanidad y Calidad Agroalimentaria (SENASA).</w:t>
            </w:r>
          </w:p>
          <w:p w:rsidR="00000000" w:rsidDel="00000000" w:rsidP="00000000" w:rsidRDefault="00000000" w:rsidRPr="00000000" w14:paraId="00000070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widowControl w:val="0"/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56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keepNext w:val="1"/>
              <w:widowControl w:val="0"/>
              <w:tabs>
                <w:tab w:val="left" w:leader="none" w:pos="-1134"/>
                <w:tab w:val="left" w:leader="none" w:pos="-720"/>
                <w:tab w:val="left" w:leader="none" w:pos="0"/>
                <w:tab w:val="left" w:leader="none" w:pos="720"/>
                <w:tab w:val="left" w:leader="none" w:pos="1303"/>
                <w:tab w:val="left" w:leader="none" w:pos="2160"/>
              </w:tabs>
              <w:spacing w:after="0" w:line="200" w:lineRule="auto"/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tabs>
                <w:tab w:val="left" w:leader="none" w:pos="-1134"/>
                <w:tab w:val="left" w:leader="none" w:pos="-720"/>
                <w:tab w:val="left" w:leader="none" w:pos="0"/>
                <w:tab w:val="left" w:leader="none" w:pos="720"/>
                <w:tab w:val="left" w:leader="none" w:pos="1303"/>
                <w:tab w:val="left" w:leader="none" w:pos="2160"/>
              </w:tabs>
              <w:spacing w:after="0" w:lineRule="auto"/>
              <w:jc w:val="both"/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5-METODOLOGÍA DE ENSEÑANZA Y EVALUACIÓN DURANTE EL CURSADO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4">
            <w:pPr>
              <w:keepNext w:val="1"/>
              <w:widowControl w:val="0"/>
              <w:tabs>
                <w:tab w:val="left" w:leader="none" w:pos="-1134"/>
                <w:tab w:val="left" w:leader="none" w:pos="-720"/>
                <w:tab w:val="left" w:leader="none" w:pos="0"/>
                <w:tab w:val="left" w:leader="none" w:pos="720"/>
                <w:tab w:val="left" w:leader="none" w:pos="1303"/>
                <w:tab w:val="left" w:leader="none" w:pos="2160"/>
              </w:tabs>
              <w:spacing w:after="0" w:line="200" w:lineRule="auto"/>
              <w:jc w:val="both"/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jc w:val="both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Estrategias de enseñanza: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ind w:hanging="2"/>
              <w:jc w:val="both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sz w:val="23"/>
                <w:szCs w:val="23"/>
                <w:rtl w:val="0"/>
              </w:rPr>
              <w:t xml:space="preserve">La estructura general del curso tendrá un formato semi-presencial que consta de:</w:t>
            </w:r>
          </w:p>
          <w:p w:rsidR="00000000" w:rsidDel="00000000" w:rsidP="00000000" w:rsidRDefault="00000000" w:rsidRPr="00000000" w14:paraId="00000077">
            <w:pPr>
              <w:ind w:hanging="2"/>
              <w:jc w:val="both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sz w:val="23"/>
                <w:szCs w:val="23"/>
                <w:rtl w:val="0"/>
              </w:rPr>
              <w:t xml:space="preserve">1-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Clases teóricas en forma de lección magistral o exposición que además de facilitar información a los estudiantes promueve la comprensión de los conocimientos y estimulan su participación, contribuyendo al mismo tiempo al desarrollo de competencias y habilidades transversales. </w:t>
            </w:r>
          </w:p>
          <w:p w:rsidR="00000000" w:rsidDel="00000000" w:rsidP="00000000" w:rsidRDefault="00000000" w:rsidRPr="00000000" w14:paraId="00000078">
            <w:pPr>
              <w:ind w:hanging="2"/>
              <w:jc w:val="both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sz w:val="23"/>
                <w:szCs w:val="23"/>
                <w:rtl w:val="0"/>
              </w:rPr>
              <w:t xml:space="preserve">2-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Trabajos Prácticos de investigación en donde los estudiantes mediante la búsqueda bibliográfica amplíen, profundicen, consoliden y comprueben los fundamentos teóricos de la asignatura. La realización de los trabajos prácticos por parte de los estudiantes, estará sujeta a evaluación.</w:t>
            </w:r>
          </w:p>
          <w:p w:rsidR="00000000" w:rsidDel="00000000" w:rsidP="00000000" w:rsidRDefault="00000000" w:rsidRPr="00000000" w14:paraId="00000079">
            <w:pPr>
              <w:ind w:hanging="2"/>
              <w:jc w:val="both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3- Simulación de un caso práctico de un conflicto ético en un laboratorio privado para análisis del procedimiento legal según el código deondológico del biólogo. </w:t>
            </w:r>
          </w:p>
          <w:p w:rsidR="00000000" w:rsidDel="00000000" w:rsidP="00000000" w:rsidRDefault="00000000" w:rsidRPr="00000000" w14:paraId="0000007A">
            <w:pPr>
              <w:ind w:hanging="2"/>
              <w:jc w:val="both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4- Elaboración y exposición oral de un informe técnico a partir de la investigación y el análisis de casos reales como aplicación de monocultivos, organismos genéticamente modificados en la industria agrícola, uso de agrotóxicos, explotación minera, fentanilo contaminado, etc. La investigación de los eventos asociados a estos casos permitirá que los alumnos adquieran una mirada profesional crítica en un marco jurídico y legal. </w:t>
            </w:r>
          </w:p>
          <w:p w:rsidR="00000000" w:rsidDel="00000000" w:rsidP="00000000" w:rsidRDefault="00000000" w:rsidRPr="00000000" w14:paraId="0000007B">
            <w:pPr>
              <w:ind w:hanging="2"/>
              <w:jc w:val="both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Recursos didácticos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ind w:hanging="2"/>
              <w:jc w:val="both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Videos explicativos sobre las leyes vigentes, su aplicación y recursos de amparo, lectura grupal e interpretación del material brindado, uso de IA para el análisis sintético e interpretación coloquial de las leyes que regulan el ejercicio profesional. Material bibliográfico asequible mediante búsqueda y consulta en internet, equipo audiovisual. Acceso a la plataforma virtual del curso moodle.</w:t>
            </w:r>
          </w:p>
          <w:p w:rsidR="00000000" w:rsidDel="00000000" w:rsidP="00000000" w:rsidRDefault="00000000" w:rsidRPr="00000000" w14:paraId="0000007D">
            <w:pPr>
              <w:ind w:hanging="2"/>
              <w:jc w:val="both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MODALIDAD DEL CURSO. El curso comprenderá las siguientes actividades:</w:t>
            </w:r>
          </w:p>
          <w:p w:rsidR="00000000" w:rsidDel="00000000" w:rsidP="00000000" w:rsidRDefault="00000000" w:rsidRPr="00000000" w14:paraId="0000007E">
            <w:pPr>
              <w:jc w:val="both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Clases teóricas (virtual y presencial)</w:t>
            </w:r>
          </w:p>
          <w:p w:rsidR="00000000" w:rsidDel="00000000" w:rsidP="00000000" w:rsidRDefault="00000000" w:rsidRPr="00000000" w14:paraId="0000007F">
            <w:pPr>
              <w:jc w:val="both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Trabajos Prácticos (virtual y presencial) </w:t>
            </w:r>
          </w:p>
          <w:p w:rsidR="00000000" w:rsidDel="00000000" w:rsidP="00000000" w:rsidRDefault="00000000" w:rsidRPr="00000000" w14:paraId="00000080">
            <w:pPr>
              <w:jc w:val="both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Presentación del informe técnico integrador (virtual y presencial)</w:t>
            </w:r>
          </w:p>
          <w:p w:rsidR="00000000" w:rsidDel="00000000" w:rsidP="00000000" w:rsidRDefault="00000000" w:rsidRPr="00000000" w14:paraId="00000081">
            <w:pPr>
              <w:ind w:hanging="2"/>
              <w:jc w:val="both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SISTEMA DE EVALUACIÓN</w:t>
            </w:r>
          </w:p>
          <w:p w:rsidR="00000000" w:rsidDel="00000000" w:rsidP="00000000" w:rsidRDefault="00000000" w:rsidRPr="00000000" w14:paraId="00000082">
            <w:pPr>
              <w:jc w:val="both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El taller se dictará en cuatro encuentros presenciales de asistencia obligatoria.</w:t>
            </w:r>
          </w:p>
          <w:p w:rsidR="00000000" w:rsidDel="00000000" w:rsidP="00000000" w:rsidRDefault="00000000" w:rsidRPr="00000000" w14:paraId="00000083">
            <w:pPr>
              <w:jc w:val="both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Los conocimientos teóricos del alumno serán evaluados mediante cuestionarios en la plataforma Moodle con aprobación del 60% de sus contenidos.</w:t>
            </w:r>
          </w:p>
          <w:p w:rsidR="00000000" w:rsidDel="00000000" w:rsidP="00000000" w:rsidRDefault="00000000" w:rsidRPr="00000000" w14:paraId="00000084">
            <w:pPr>
              <w:jc w:val="both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El alumno deberá elaborar, entregar y exponer un informe técnicos integrador. El informe será evaluado en función del tipo y cantidad de contenido investigado para su elaboración y profundidad del análisis.</w:t>
            </w:r>
          </w:p>
          <w:p w:rsidR="00000000" w:rsidDel="00000000" w:rsidP="00000000" w:rsidRDefault="00000000" w:rsidRPr="00000000" w14:paraId="00000085">
            <w:pPr>
              <w:jc w:val="both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El alumno que no apruebe los cuestionarios en primera instancia tendrá la oportunidad de recuperarlos el último día del taller, condicionado a la aprobación del informe técnico integrador.</w:t>
            </w:r>
          </w:p>
        </w:tc>
      </w:tr>
    </w:tbl>
    <w:p w:rsidR="00000000" w:rsidDel="00000000" w:rsidP="00000000" w:rsidRDefault="00000000" w:rsidRPr="00000000" w14:paraId="00000086">
      <w:pPr>
        <w:widowControl w:val="0"/>
        <w:spacing w:after="0" w:line="2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56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keepNext w:val="1"/>
              <w:widowControl w:val="0"/>
              <w:tabs>
                <w:tab w:val="left" w:leader="none" w:pos="-1134"/>
                <w:tab w:val="left" w:leader="none" w:pos="-720"/>
                <w:tab w:val="left" w:leader="none" w:pos="0"/>
                <w:tab w:val="left" w:leader="none" w:pos="720"/>
                <w:tab w:val="left" w:leader="none" w:pos="1303"/>
                <w:tab w:val="left" w:leader="none" w:pos="2160"/>
              </w:tabs>
              <w:spacing w:after="0" w:line="200" w:lineRule="auto"/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0" w:lineRule="auto"/>
              <w:jc w:val="both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6- REQUISITOS DE CURSADO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La regularidad del cursado será alcanzada mediante la asistencia a las cuatro clases presenciales y realización de los cuatro cuestionarios en Moodle con aprobación de un mínimo de dos de ellos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widowControl w:val="0"/>
        <w:spacing w:after="0" w:line="2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56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521"/>
        <w:gridCol w:w="709"/>
        <w:gridCol w:w="708"/>
        <w:gridCol w:w="709"/>
        <w:gridCol w:w="709"/>
        <w:tblGridChange w:id="0">
          <w:tblGrid>
            <w:gridCol w:w="6521"/>
            <w:gridCol w:w="709"/>
            <w:gridCol w:w="708"/>
            <w:gridCol w:w="709"/>
            <w:gridCol w:w="709"/>
          </w:tblGrid>
        </w:tblGridChange>
      </w:tblGrid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8B">
            <w:pPr>
              <w:spacing w:after="0" w:lineRule="auto"/>
              <w:jc w:val="both"/>
              <w:rPr>
                <w:rFonts w:ascii="Arial" w:cs="Arial" w:eastAsia="Arial" w:hAnsi="Arial"/>
                <w:i w:val="1"/>
                <w:i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7- SISTEMA DE APROBACIÓN Y/O PROMOCIÓN DEL ESPACIO CURRICULAR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90">
            <w:pPr>
              <w:ind w:hanging="2"/>
              <w:jc w:val="both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La aprobación del taller será lograda si el alumno cumple con los siguientes requisitos: Asistencia a las cuatro clases presenciales, aprobación de los cuatro cuestionarios en Moodle (en primera o segunda instancia) y la entrega, exposición y aprobación del informe técnico integrador. </w:t>
            </w:r>
            <w:r w:rsidDel="00000000" w:rsidR="00000000" w:rsidRPr="00000000">
              <w:rPr>
                <w:rFonts w:ascii="Arial" w:cs="Arial" w:eastAsia="Arial" w:hAnsi="Arial"/>
                <w:sz w:val="23"/>
                <w:szCs w:val="23"/>
                <w:rtl w:val="0"/>
              </w:rPr>
              <w:t xml:space="preserve">El objetivo del informe técnico final es comprobar que el alumno ha incorporado y domina de manera clara los contenidos brindados en el taller.</w:t>
            </w:r>
          </w:p>
          <w:p w:rsidR="00000000" w:rsidDel="00000000" w:rsidP="00000000" w:rsidRDefault="00000000" w:rsidRPr="00000000" w14:paraId="00000091">
            <w:pPr>
              <w:ind w:hanging="2"/>
              <w:jc w:val="both"/>
              <w:rPr>
                <w:rFonts w:ascii="Arial" w:cs="Arial" w:eastAsia="Arial" w:hAnsi="Arial"/>
                <w:i w:val="1"/>
                <w:iCs w:val="1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sz w:val="23"/>
                <w:szCs w:val="23"/>
                <w:rtl w:val="0"/>
              </w:rPr>
              <w:t xml:space="preserve">Las notas correspondientes al curso se regirán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3"/>
                <w:szCs w:val="23"/>
                <w:rtl w:val="0"/>
              </w:rPr>
              <w:t xml:space="preserve">de acuerdo con los criterios y la escala de la Ord. Nº 108/2010 C.S.- Art 4:</w:t>
            </w:r>
          </w:p>
          <w:p w:rsidR="00000000" w:rsidDel="00000000" w:rsidP="00000000" w:rsidRDefault="00000000" w:rsidRPr="00000000" w14:paraId="00000092">
            <w:pPr>
              <w:spacing w:after="0" w:lineRule="auto"/>
              <w:jc w:val="both"/>
              <w:rPr>
                <w:rFonts w:ascii="Arial" w:cs="Arial" w:eastAsia="Arial" w:hAnsi="Arial"/>
                <w:i w:val="1"/>
                <w:i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5670.0" w:type="dxa"/>
              <w:jc w:val="left"/>
              <w:tblInd w:w="1308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733"/>
              <w:gridCol w:w="1811"/>
              <w:gridCol w:w="2126"/>
              <w:tblGridChange w:id="0">
                <w:tblGrid>
                  <w:gridCol w:w="1733"/>
                  <w:gridCol w:w="1811"/>
                  <w:gridCol w:w="212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93">
                  <w:pPr>
                    <w:spacing w:after="0" w:lineRule="auto"/>
                    <w:jc w:val="center"/>
                    <w:rPr>
                      <w:rFonts w:ascii="Arial" w:cs="Arial" w:eastAsia="Arial" w:hAnsi="Arial"/>
                      <w:color w:val="00000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Resultado</w:t>
                  </w:r>
                </w:p>
              </w:tc>
              <w:tc>
                <w:tcPr/>
                <w:p w:rsidR="00000000" w:rsidDel="00000000" w:rsidP="00000000" w:rsidRDefault="00000000" w:rsidRPr="00000000" w14:paraId="00000094">
                  <w:pPr>
                    <w:spacing w:after="0" w:lineRule="auto"/>
                    <w:jc w:val="center"/>
                    <w:rPr>
                      <w:rFonts w:ascii="Arial" w:cs="Arial" w:eastAsia="Arial" w:hAnsi="Arial"/>
                      <w:color w:val="00000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Escala Numérica</w:t>
                  </w:r>
                </w:p>
                <w:p w:rsidR="00000000" w:rsidDel="00000000" w:rsidP="00000000" w:rsidRDefault="00000000" w:rsidRPr="00000000" w14:paraId="00000095">
                  <w:pPr>
                    <w:spacing w:after="0" w:lineRule="auto"/>
                    <w:jc w:val="center"/>
                    <w:rPr>
                      <w:rFonts w:ascii="Arial" w:cs="Arial" w:eastAsia="Arial" w:hAnsi="Arial"/>
                      <w:color w:val="00000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Nota</w:t>
                  </w:r>
                </w:p>
              </w:tc>
              <w:tc>
                <w:tcPr/>
                <w:p w:rsidR="00000000" w:rsidDel="00000000" w:rsidP="00000000" w:rsidRDefault="00000000" w:rsidRPr="00000000" w14:paraId="00000096">
                  <w:pPr>
                    <w:spacing w:after="0" w:lineRule="auto"/>
                    <w:jc w:val="center"/>
                    <w:rPr>
                      <w:rFonts w:ascii="Arial" w:cs="Arial" w:eastAsia="Arial" w:hAnsi="Arial"/>
                      <w:color w:val="00000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Escala Porcentual %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bottom w:color="ffffff" w:space="0" w:sz="4" w:val="single"/>
                  </w:tcBorders>
                </w:tcPr>
                <w:p w:rsidR="00000000" w:rsidDel="00000000" w:rsidP="00000000" w:rsidRDefault="00000000" w:rsidRPr="00000000" w14:paraId="00000097">
                  <w:pPr>
                    <w:spacing w:after="0" w:lineRule="auto"/>
                    <w:jc w:val="center"/>
                    <w:rPr>
                      <w:rFonts w:ascii="Arial" w:cs="Arial" w:eastAsia="Arial" w:hAnsi="Arial"/>
                      <w:color w:val="00000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No Aprobado</w:t>
                  </w:r>
                </w:p>
              </w:tc>
              <w:tc>
                <w:tcPr/>
                <w:p w:rsidR="00000000" w:rsidDel="00000000" w:rsidP="00000000" w:rsidRDefault="00000000" w:rsidRPr="00000000" w14:paraId="00000098">
                  <w:pPr>
                    <w:spacing w:after="0" w:lineRule="auto"/>
                    <w:jc w:val="center"/>
                    <w:rPr>
                      <w:rFonts w:ascii="Arial" w:cs="Arial" w:eastAsia="Arial" w:hAnsi="Arial"/>
                      <w:color w:val="00000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0</w:t>
                  </w:r>
                </w:p>
              </w:tc>
              <w:tc>
                <w:tcPr/>
                <w:p w:rsidR="00000000" w:rsidDel="00000000" w:rsidP="00000000" w:rsidRDefault="00000000" w:rsidRPr="00000000" w14:paraId="00000099">
                  <w:pPr>
                    <w:spacing w:after="0" w:lineRule="auto"/>
                    <w:jc w:val="center"/>
                    <w:rPr>
                      <w:rFonts w:ascii="Arial" w:cs="Arial" w:eastAsia="Arial" w:hAnsi="Arial"/>
                      <w:color w:val="00000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0 %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ffffff" w:space="0" w:sz="4" w:val="single"/>
                    <w:bottom w:color="ffffff" w:space="0" w:sz="4" w:val="single"/>
                  </w:tcBorders>
                </w:tcPr>
                <w:p w:rsidR="00000000" w:rsidDel="00000000" w:rsidP="00000000" w:rsidRDefault="00000000" w:rsidRPr="00000000" w14:paraId="0000009A">
                  <w:pPr>
                    <w:spacing w:after="0" w:lineRule="auto"/>
                    <w:jc w:val="center"/>
                    <w:rPr>
                      <w:rFonts w:ascii="Arial" w:cs="Arial" w:eastAsia="Arial" w:hAnsi="Arial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B">
                  <w:pPr>
                    <w:spacing w:after="0" w:lineRule="auto"/>
                    <w:jc w:val="center"/>
                    <w:rPr>
                      <w:rFonts w:ascii="Arial" w:cs="Arial" w:eastAsia="Arial" w:hAnsi="Arial"/>
                      <w:color w:val="00000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09C">
                  <w:pPr>
                    <w:spacing w:after="0" w:lineRule="auto"/>
                    <w:jc w:val="center"/>
                    <w:rPr>
                      <w:rFonts w:ascii="Arial" w:cs="Arial" w:eastAsia="Arial" w:hAnsi="Arial"/>
                      <w:color w:val="00000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1 a 12 %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ffffff" w:space="0" w:sz="4" w:val="single"/>
                    <w:bottom w:color="ffffff" w:space="0" w:sz="4" w:val="single"/>
                  </w:tcBorders>
                </w:tcPr>
                <w:p w:rsidR="00000000" w:rsidDel="00000000" w:rsidP="00000000" w:rsidRDefault="00000000" w:rsidRPr="00000000" w14:paraId="0000009D">
                  <w:pPr>
                    <w:spacing w:after="0" w:lineRule="auto"/>
                    <w:jc w:val="center"/>
                    <w:rPr>
                      <w:rFonts w:ascii="Arial" w:cs="Arial" w:eastAsia="Arial" w:hAnsi="Arial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E">
                  <w:pPr>
                    <w:spacing w:after="0" w:lineRule="auto"/>
                    <w:jc w:val="center"/>
                    <w:rPr>
                      <w:rFonts w:ascii="Arial" w:cs="Arial" w:eastAsia="Arial" w:hAnsi="Arial"/>
                      <w:color w:val="00000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2</w:t>
                  </w:r>
                </w:p>
              </w:tc>
              <w:tc>
                <w:tcPr/>
                <w:p w:rsidR="00000000" w:rsidDel="00000000" w:rsidP="00000000" w:rsidRDefault="00000000" w:rsidRPr="00000000" w14:paraId="0000009F">
                  <w:pPr>
                    <w:spacing w:after="0" w:lineRule="auto"/>
                    <w:jc w:val="center"/>
                    <w:rPr>
                      <w:rFonts w:ascii="Arial" w:cs="Arial" w:eastAsia="Arial" w:hAnsi="Arial"/>
                      <w:color w:val="00000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13 a 24 %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ffffff" w:space="0" w:sz="4" w:val="single"/>
                    <w:bottom w:color="ffffff" w:space="0" w:sz="4" w:val="single"/>
                  </w:tcBorders>
                </w:tcPr>
                <w:p w:rsidR="00000000" w:rsidDel="00000000" w:rsidP="00000000" w:rsidRDefault="00000000" w:rsidRPr="00000000" w14:paraId="000000A0">
                  <w:pPr>
                    <w:spacing w:after="0" w:lineRule="auto"/>
                    <w:jc w:val="center"/>
                    <w:rPr>
                      <w:rFonts w:ascii="Arial" w:cs="Arial" w:eastAsia="Arial" w:hAnsi="Arial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1">
                  <w:pPr>
                    <w:spacing w:after="0" w:lineRule="auto"/>
                    <w:jc w:val="center"/>
                    <w:rPr>
                      <w:rFonts w:ascii="Arial" w:cs="Arial" w:eastAsia="Arial" w:hAnsi="Arial"/>
                      <w:color w:val="00000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3</w:t>
                  </w:r>
                </w:p>
              </w:tc>
              <w:tc>
                <w:tcPr/>
                <w:p w:rsidR="00000000" w:rsidDel="00000000" w:rsidP="00000000" w:rsidRDefault="00000000" w:rsidRPr="00000000" w14:paraId="000000A2">
                  <w:pPr>
                    <w:spacing w:after="0" w:lineRule="auto"/>
                    <w:jc w:val="center"/>
                    <w:rPr>
                      <w:rFonts w:ascii="Arial" w:cs="Arial" w:eastAsia="Arial" w:hAnsi="Arial"/>
                      <w:color w:val="00000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25 a 35 %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ffffff" w:space="0" w:sz="4" w:val="single"/>
                    <w:bottom w:color="ffffff" w:space="0" w:sz="4" w:val="single"/>
                  </w:tcBorders>
                </w:tcPr>
                <w:p w:rsidR="00000000" w:rsidDel="00000000" w:rsidP="00000000" w:rsidRDefault="00000000" w:rsidRPr="00000000" w14:paraId="000000A3">
                  <w:pPr>
                    <w:spacing w:after="0" w:lineRule="auto"/>
                    <w:jc w:val="center"/>
                    <w:rPr>
                      <w:rFonts w:ascii="Arial" w:cs="Arial" w:eastAsia="Arial" w:hAnsi="Arial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4">
                  <w:pPr>
                    <w:spacing w:after="0" w:lineRule="auto"/>
                    <w:jc w:val="center"/>
                    <w:rPr>
                      <w:rFonts w:ascii="Arial" w:cs="Arial" w:eastAsia="Arial" w:hAnsi="Arial"/>
                      <w:color w:val="00000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4</w:t>
                  </w:r>
                </w:p>
              </w:tc>
              <w:tc>
                <w:tcPr/>
                <w:p w:rsidR="00000000" w:rsidDel="00000000" w:rsidP="00000000" w:rsidRDefault="00000000" w:rsidRPr="00000000" w14:paraId="000000A5">
                  <w:pPr>
                    <w:spacing w:after="0" w:lineRule="auto"/>
                    <w:jc w:val="center"/>
                    <w:rPr>
                      <w:rFonts w:ascii="Arial" w:cs="Arial" w:eastAsia="Arial" w:hAnsi="Arial"/>
                      <w:color w:val="00000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36 a 47 %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ffffff" w:space="0" w:sz="4" w:val="single"/>
                  </w:tcBorders>
                </w:tcPr>
                <w:p w:rsidR="00000000" w:rsidDel="00000000" w:rsidP="00000000" w:rsidRDefault="00000000" w:rsidRPr="00000000" w14:paraId="000000A6">
                  <w:pPr>
                    <w:spacing w:after="0" w:lineRule="auto"/>
                    <w:jc w:val="center"/>
                    <w:rPr>
                      <w:rFonts w:ascii="Arial" w:cs="Arial" w:eastAsia="Arial" w:hAnsi="Arial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7">
                  <w:pPr>
                    <w:spacing w:after="0" w:lineRule="auto"/>
                    <w:jc w:val="center"/>
                    <w:rPr>
                      <w:rFonts w:ascii="Arial" w:cs="Arial" w:eastAsia="Arial" w:hAnsi="Arial"/>
                      <w:color w:val="00000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5</w:t>
                  </w:r>
                </w:p>
              </w:tc>
              <w:tc>
                <w:tcPr/>
                <w:p w:rsidR="00000000" w:rsidDel="00000000" w:rsidP="00000000" w:rsidRDefault="00000000" w:rsidRPr="00000000" w14:paraId="000000A8">
                  <w:pPr>
                    <w:spacing w:after="0" w:lineRule="auto"/>
                    <w:jc w:val="center"/>
                    <w:rPr>
                      <w:rFonts w:ascii="Arial" w:cs="Arial" w:eastAsia="Arial" w:hAnsi="Arial"/>
                      <w:color w:val="00000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48 a 59 %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bottom w:color="ffffff" w:space="0" w:sz="4" w:val="single"/>
                  </w:tcBorders>
                </w:tcPr>
                <w:p w:rsidR="00000000" w:rsidDel="00000000" w:rsidP="00000000" w:rsidRDefault="00000000" w:rsidRPr="00000000" w14:paraId="000000A9">
                  <w:pPr>
                    <w:spacing w:after="0" w:lineRule="auto"/>
                    <w:jc w:val="center"/>
                    <w:rPr>
                      <w:rFonts w:ascii="Arial" w:cs="Arial" w:eastAsia="Arial" w:hAnsi="Arial"/>
                      <w:color w:val="00000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Aprobado</w:t>
                  </w:r>
                </w:p>
              </w:tc>
              <w:tc>
                <w:tcPr/>
                <w:p w:rsidR="00000000" w:rsidDel="00000000" w:rsidP="00000000" w:rsidRDefault="00000000" w:rsidRPr="00000000" w14:paraId="000000AA">
                  <w:pPr>
                    <w:spacing w:after="0" w:lineRule="auto"/>
                    <w:jc w:val="center"/>
                    <w:rPr>
                      <w:rFonts w:ascii="Arial" w:cs="Arial" w:eastAsia="Arial" w:hAnsi="Arial"/>
                      <w:color w:val="00000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6</w:t>
                  </w:r>
                </w:p>
              </w:tc>
              <w:tc>
                <w:tcPr/>
                <w:p w:rsidR="00000000" w:rsidDel="00000000" w:rsidP="00000000" w:rsidRDefault="00000000" w:rsidRPr="00000000" w14:paraId="000000AB">
                  <w:pPr>
                    <w:spacing w:after="0" w:lineRule="auto"/>
                    <w:jc w:val="center"/>
                    <w:rPr>
                      <w:rFonts w:ascii="Arial" w:cs="Arial" w:eastAsia="Arial" w:hAnsi="Arial"/>
                      <w:color w:val="00000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60 a 64 %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ffffff" w:space="0" w:sz="4" w:val="single"/>
                    <w:bottom w:color="ffffff" w:space="0" w:sz="4" w:val="single"/>
                  </w:tcBorders>
                </w:tcPr>
                <w:p w:rsidR="00000000" w:rsidDel="00000000" w:rsidP="00000000" w:rsidRDefault="00000000" w:rsidRPr="00000000" w14:paraId="000000AC">
                  <w:pPr>
                    <w:spacing w:after="0" w:lineRule="auto"/>
                    <w:jc w:val="center"/>
                    <w:rPr>
                      <w:rFonts w:ascii="Arial" w:cs="Arial" w:eastAsia="Arial" w:hAnsi="Arial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D">
                  <w:pPr>
                    <w:spacing w:after="0" w:lineRule="auto"/>
                    <w:jc w:val="center"/>
                    <w:rPr>
                      <w:rFonts w:ascii="Arial" w:cs="Arial" w:eastAsia="Arial" w:hAnsi="Arial"/>
                      <w:color w:val="00000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7</w:t>
                  </w:r>
                </w:p>
              </w:tc>
              <w:tc>
                <w:tcPr/>
                <w:p w:rsidR="00000000" w:rsidDel="00000000" w:rsidP="00000000" w:rsidRDefault="00000000" w:rsidRPr="00000000" w14:paraId="000000AE">
                  <w:pPr>
                    <w:spacing w:after="0" w:lineRule="auto"/>
                    <w:jc w:val="center"/>
                    <w:rPr>
                      <w:rFonts w:ascii="Arial" w:cs="Arial" w:eastAsia="Arial" w:hAnsi="Arial"/>
                      <w:color w:val="00000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65 a 74 %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ffffff" w:space="0" w:sz="4" w:val="single"/>
                    <w:bottom w:color="ffffff" w:space="0" w:sz="4" w:val="single"/>
                  </w:tcBorders>
                </w:tcPr>
                <w:p w:rsidR="00000000" w:rsidDel="00000000" w:rsidP="00000000" w:rsidRDefault="00000000" w:rsidRPr="00000000" w14:paraId="000000AF">
                  <w:pPr>
                    <w:spacing w:after="0" w:lineRule="auto"/>
                    <w:jc w:val="center"/>
                    <w:rPr>
                      <w:rFonts w:ascii="Arial" w:cs="Arial" w:eastAsia="Arial" w:hAnsi="Arial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0">
                  <w:pPr>
                    <w:spacing w:after="0" w:lineRule="auto"/>
                    <w:jc w:val="center"/>
                    <w:rPr>
                      <w:rFonts w:ascii="Arial" w:cs="Arial" w:eastAsia="Arial" w:hAnsi="Arial"/>
                      <w:color w:val="00000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8</w:t>
                  </w:r>
                </w:p>
              </w:tc>
              <w:tc>
                <w:tcPr/>
                <w:p w:rsidR="00000000" w:rsidDel="00000000" w:rsidP="00000000" w:rsidRDefault="00000000" w:rsidRPr="00000000" w14:paraId="000000B1">
                  <w:pPr>
                    <w:spacing w:after="0" w:lineRule="auto"/>
                    <w:jc w:val="center"/>
                    <w:rPr>
                      <w:rFonts w:ascii="Arial" w:cs="Arial" w:eastAsia="Arial" w:hAnsi="Arial"/>
                      <w:color w:val="00000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75 a 84 %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ffffff" w:space="0" w:sz="4" w:val="single"/>
                    <w:bottom w:color="ffffff" w:space="0" w:sz="4" w:val="single"/>
                  </w:tcBorders>
                </w:tcPr>
                <w:p w:rsidR="00000000" w:rsidDel="00000000" w:rsidP="00000000" w:rsidRDefault="00000000" w:rsidRPr="00000000" w14:paraId="000000B2">
                  <w:pPr>
                    <w:spacing w:after="0" w:lineRule="auto"/>
                    <w:jc w:val="center"/>
                    <w:rPr>
                      <w:rFonts w:ascii="Arial" w:cs="Arial" w:eastAsia="Arial" w:hAnsi="Arial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3">
                  <w:pPr>
                    <w:spacing w:after="0" w:lineRule="auto"/>
                    <w:jc w:val="center"/>
                    <w:rPr>
                      <w:rFonts w:ascii="Arial" w:cs="Arial" w:eastAsia="Arial" w:hAnsi="Arial"/>
                      <w:color w:val="00000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9</w:t>
                  </w:r>
                </w:p>
              </w:tc>
              <w:tc>
                <w:tcPr/>
                <w:p w:rsidR="00000000" w:rsidDel="00000000" w:rsidP="00000000" w:rsidRDefault="00000000" w:rsidRPr="00000000" w14:paraId="000000B4">
                  <w:pPr>
                    <w:spacing w:after="0" w:lineRule="auto"/>
                    <w:jc w:val="center"/>
                    <w:rPr>
                      <w:rFonts w:ascii="Arial" w:cs="Arial" w:eastAsia="Arial" w:hAnsi="Arial"/>
                      <w:color w:val="00000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85 a 94 %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ffffff" w:space="0" w:sz="4" w:val="single"/>
                  </w:tcBorders>
                </w:tcPr>
                <w:p w:rsidR="00000000" w:rsidDel="00000000" w:rsidP="00000000" w:rsidRDefault="00000000" w:rsidRPr="00000000" w14:paraId="000000B5">
                  <w:pPr>
                    <w:spacing w:after="0" w:lineRule="auto"/>
                    <w:jc w:val="center"/>
                    <w:rPr>
                      <w:rFonts w:ascii="Arial" w:cs="Arial" w:eastAsia="Arial" w:hAnsi="Arial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6">
                  <w:pPr>
                    <w:spacing w:after="0" w:lineRule="auto"/>
                    <w:jc w:val="center"/>
                    <w:rPr>
                      <w:rFonts w:ascii="Arial" w:cs="Arial" w:eastAsia="Arial" w:hAnsi="Arial"/>
                      <w:color w:val="00000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10</w:t>
                  </w:r>
                </w:p>
              </w:tc>
              <w:tc>
                <w:tcPr/>
                <w:p w:rsidR="00000000" w:rsidDel="00000000" w:rsidP="00000000" w:rsidRDefault="00000000" w:rsidRPr="00000000" w14:paraId="000000B7">
                  <w:pPr>
                    <w:spacing w:after="0" w:lineRule="auto"/>
                    <w:jc w:val="center"/>
                    <w:rPr>
                      <w:rFonts w:ascii="Arial" w:cs="Arial" w:eastAsia="Arial" w:hAnsi="Arial"/>
                      <w:color w:val="00000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95 a 100 %</w:t>
                  </w:r>
                </w:p>
              </w:tc>
            </w:tr>
          </w:tbl>
          <w:p w:rsidR="00000000" w:rsidDel="00000000" w:rsidP="00000000" w:rsidRDefault="00000000" w:rsidRPr="00000000" w14:paraId="000000B8">
            <w:pPr>
              <w:keepNext w:val="1"/>
              <w:widowControl w:val="0"/>
              <w:tabs>
                <w:tab w:val="left" w:leader="none" w:pos="-1134"/>
                <w:tab w:val="left" w:leader="none" w:pos="-720"/>
                <w:tab w:val="left" w:leader="none" w:pos="0"/>
                <w:tab w:val="left" w:leader="none" w:pos="720"/>
                <w:tab w:val="left" w:leader="none" w:pos="1303"/>
                <w:tab w:val="left" w:leader="none" w:pos="2160"/>
              </w:tabs>
              <w:spacing w:after="0" w:line="200" w:lineRule="auto"/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BD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widowControl w:val="0"/>
              <w:spacing w:after="0" w:line="2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PROMOCIONABLE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widowControl w:val="0"/>
              <w:spacing w:after="0" w:line="2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</w:t>
            </w:r>
          </w:p>
        </w:tc>
        <w:tc>
          <w:tcPr/>
          <w:p w:rsidR="00000000" w:rsidDel="00000000" w:rsidP="00000000" w:rsidRDefault="00000000" w:rsidRPr="00000000" w14:paraId="000000C4">
            <w:pPr>
              <w:widowControl w:val="0"/>
              <w:spacing w:after="0" w:line="2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C5">
            <w:pPr>
              <w:widowControl w:val="0"/>
              <w:spacing w:after="0" w:line="2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widowControl w:val="0"/>
              <w:spacing w:after="0" w:line="2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C7">
            <w:pPr>
              <w:widowControl w:val="0"/>
              <w:spacing w:after="0" w:line="2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widowControl w:val="0"/>
        <w:spacing w:after="0" w:line="200" w:lineRule="auto"/>
        <w:rPr>
          <w:rFonts w:ascii="Arial" w:cs="Arial" w:eastAsia="Arial" w:hAnsi="Arial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526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26"/>
        <w:tblGridChange w:id="0">
          <w:tblGrid>
            <w:gridCol w:w="95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keepNext w:val="1"/>
              <w:widowControl w:val="0"/>
              <w:tabs>
                <w:tab w:val="left" w:leader="none" w:pos="-1134"/>
                <w:tab w:val="left" w:leader="none" w:pos="-720"/>
                <w:tab w:val="left" w:leader="none" w:pos="0"/>
                <w:tab w:val="left" w:leader="none" w:pos="720"/>
                <w:tab w:val="left" w:leader="none" w:pos="1303"/>
                <w:tab w:val="left" w:leader="none" w:pos="2160"/>
              </w:tabs>
              <w:spacing w:after="0" w:line="200" w:lineRule="auto"/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0" w:lineRule="auto"/>
              <w:jc w:val="both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8- CRONOGRAMA DE ACTIVIDADES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9296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969"/>
              <w:gridCol w:w="1320"/>
              <w:gridCol w:w="2385"/>
              <w:gridCol w:w="2801"/>
              <w:gridCol w:w="1821"/>
              <w:tblGridChange w:id="0">
                <w:tblGrid>
                  <w:gridCol w:w="969"/>
                  <w:gridCol w:w="1320"/>
                  <w:gridCol w:w="2385"/>
                  <w:gridCol w:w="2801"/>
                  <w:gridCol w:w="1821"/>
                </w:tblGrid>
              </w:tblGridChange>
            </w:tblGrid>
            <w:tr>
              <w:trPr>
                <w:cantSplit w:val="0"/>
                <w:trHeight w:val="604" w:hRule="atLeast"/>
                <w:tblHeader w:val="0"/>
              </w:trPr>
              <w:tc>
                <w:tcPr>
                  <w:vMerge w:val="restart"/>
                  <w:vAlign w:val="center"/>
                </w:tcPr>
                <w:p w:rsidR="00000000" w:rsidDel="00000000" w:rsidP="00000000" w:rsidRDefault="00000000" w:rsidRPr="00000000" w14:paraId="000000CC">
                  <w:pPr>
                    <w:ind w:hanging="2"/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Semana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restart"/>
                  <w:vAlign w:val="center"/>
                </w:tcPr>
                <w:p w:rsidR="00000000" w:rsidDel="00000000" w:rsidP="00000000" w:rsidRDefault="00000000" w:rsidRPr="00000000" w14:paraId="000000CD">
                  <w:pPr>
                    <w:ind w:hanging="2"/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Fechas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CE">
                  <w:pPr>
                    <w:ind w:hanging="2"/>
                    <w:jc w:val="center"/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Clases regulares (teóricas, prácticas, resolución de problemas, etc.)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CF">
                  <w:pPr>
                    <w:ind w:hanging="2"/>
                    <w:jc w:val="center"/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Actividades obligatorias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0">
                  <w:pPr>
                    <w:ind w:hanging="2"/>
                    <w:jc w:val="center"/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(trabajos prácticos, laboratorios, Resolución de guías didácticas, seminarios)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D1">
                  <w:pPr>
                    <w:ind w:hanging="2"/>
                    <w:jc w:val="center"/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Evaluaciones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0D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0D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vAlign w:val="center"/>
                </w:tcPr>
                <w:p w:rsidR="00000000" w:rsidDel="00000000" w:rsidP="00000000" w:rsidRDefault="00000000" w:rsidRPr="00000000" w14:paraId="000000D4">
                  <w:pPr>
                    <w:ind w:hanging="2"/>
                    <w:jc w:val="center"/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sz w:val="24"/>
                      <w:szCs w:val="24"/>
                      <w:rtl w:val="0"/>
                    </w:rPr>
                    <w:t xml:space="preserve">Indicar fecha/día de la semana y nombre de la actividad</w:t>
                  </w:r>
                </w:p>
              </w:tc>
            </w:tr>
            <w:tr>
              <w:trPr>
                <w:cantSplit w:val="0"/>
                <w:trHeight w:val="555" w:hRule="atLeast"/>
                <w:tblHeader w:val="0"/>
              </w:trPr>
              <w:tc>
                <w:tcPr/>
                <w:p w:rsidR="00000000" w:rsidDel="00000000" w:rsidP="00000000" w:rsidRDefault="00000000" w:rsidRPr="00000000" w14:paraId="000000D7">
                  <w:pPr>
                    <w:ind w:hanging="2"/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sz w:val="24"/>
                      <w:szCs w:val="24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0D8">
                  <w:pPr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sz w:val="24"/>
                      <w:szCs w:val="24"/>
                      <w:rtl w:val="0"/>
                    </w:rPr>
                    <w:t xml:space="preserve">31/07 </w:t>
                  </w:r>
                </w:p>
                <w:p w:rsidR="00000000" w:rsidDel="00000000" w:rsidP="00000000" w:rsidRDefault="00000000" w:rsidRPr="00000000" w14:paraId="000000D9">
                  <w:pPr>
                    <w:ind w:hanging="2"/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A">
                  <w:pPr>
                    <w:ind w:hanging="2"/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B">
                  <w:pPr>
                    <w:ind w:hanging="2"/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C">
                  <w:pPr>
                    <w:ind w:hanging="2"/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D">
                  <w:pPr>
                    <w:ind w:hanging="2"/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E">
                  <w:pPr>
                    <w:ind w:hanging="2"/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F">
                  <w:pPr>
                    <w:ind w:hanging="2"/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sz w:val="24"/>
                      <w:szCs w:val="24"/>
                      <w:rtl w:val="0"/>
                    </w:rPr>
                    <w:t xml:space="preserve">Encuentro 2</w:t>
                  </w:r>
                </w:p>
              </w:tc>
              <w:tc>
                <w:tcPr/>
                <w:p w:rsidR="00000000" w:rsidDel="00000000" w:rsidP="00000000" w:rsidRDefault="00000000" w:rsidRPr="00000000" w14:paraId="000000E0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Deontología profesional. Colegiación y FAPBIO</w:t>
                  </w:r>
                </w:p>
                <w:p w:rsidR="00000000" w:rsidDel="00000000" w:rsidP="00000000" w:rsidRDefault="00000000" w:rsidRPr="00000000" w14:paraId="000000E1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E2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E3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E4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E5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E6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E7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Higiene, Seguridad y Bioseguridad</w:t>
                  </w:r>
                </w:p>
                <w:p w:rsidR="00000000" w:rsidDel="00000000" w:rsidP="00000000" w:rsidRDefault="00000000" w:rsidRPr="00000000" w14:paraId="000000E8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E9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EA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EB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C">
                  <w:pPr>
                    <w:spacing w:line="360" w:lineRule="auto"/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Búsqueda y lectura de la ley de ejercicio profesional de la jurisdicción local.</w:t>
                  </w:r>
                </w:p>
                <w:p w:rsidR="00000000" w:rsidDel="00000000" w:rsidP="00000000" w:rsidRDefault="00000000" w:rsidRPr="00000000" w14:paraId="000000ED">
                  <w:pPr>
                    <w:spacing w:line="360" w:lineRule="auto"/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Búsqueda y análisis de un caso real de ejercicio ilegal de la profesión o conflicto de incumbencias.</w:t>
                  </w:r>
                </w:p>
                <w:p w:rsidR="00000000" w:rsidDel="00000000" w:rsidP="00000000" w:rsidRDefault="00000000" w:rsidRPr="00000000" w14:paraId="000000EE">
                  <w:pPr>
                    <w:spacing w:line="360" w:lineRule="auto"/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Relevamiento y diseño de un mapa de riesgos para un laboratorio biológico hipotético.</w:t>
                  </w:r>
                </w:p>
                <w:p w:rsidR="00000000" w:rsidDel="00000000" w:rsidP="00000000" w:rsidRDefault="00000000" w:rsidRPr="00000000" w14:paraId="000000EF">
                  <w:pPr>
                    <w:spacing w:line="360" w:lineRule="auto"/>
                    <w:jc w:val="both"/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Lectura de las hojas de seguridad (MSDS) de reactivos comunes.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0">
                  <w:pPr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sz w:val="24"/>
                      <w:szCs w:val="24"/>
                      <w:rtl w:val="0"/>
                    </w:rPr>
                    <w:t xml:space="preserve">Cuestionario de Moodle</w:t>
                  </w:r>
                </w:p>
                <w:p w:rsidR="00000000" w:rsidDel="00000000" w:rsidP="00000000" w:rsidRDefault="00000000" w:rsidRPr="00000000" w14:paraId="000000F1">
                  <w:pPr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F2">
                  <w:pPr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F3">
                  <w:pPr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F4">
                  <w:pPr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F5">
                  <w:pPr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F6">
                  <w:pPr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sz w:val="24"/>
                      <w:szCs w:val="24"/>
                      <w:rtl w:val="0"/>
                    </w:rPr>
                    <w:t xml:space="preserve">Cuestionario de Moodle</w:t>
                  </w:r>
                </w:p>
              </w:tc>
            </w:tr>
            <w:tr>
              <w:trPr>
                <w:cantSplit w:val="0"/>
                <w:trHeight w:val="90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F7">
                  <w:pPr>
                    <w:ind w:hanging="2"/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sz w:val="24"/>
                      <w:szCs w:val="24"/>
                      <w:rtl w:val="0"/>
                    </w:rPr>
                    <w:t xml:space="preserve">2</w:t>
                  </w:r>
                </w:p>
              </w:tc>
              <w:tc>
                <w:tcPr/>
                <w:p w:rsidR="00000000" w:rsidDel="00000000" w:rsidP="00000000" w:rsidRDefault="00000000" w:rsidRPr="00000000" w14:paraId="000000F8">
                  <w:pPr>
                    <w:ind w:hanging="2"/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sz w:val="24"/>
                      <w:szCs w:val="24"/>
                      <w:rtl w:val="0"/>
                    </w:rPr>
                    <w:t xml:space="preserve">Encuentro 3</w:t>
                  </w:r>
                </w:p>
                <w:p w:rsidR="00000000" w:rsidDel="00000000" w:rsidP="00000000" w:rsidRDefault="00000000" w:rsidRPr="00000000" w14:paraId="000000F9">
                  <w:pPr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FA">
                  <w:pPr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FB">
                  <w:pPr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FC">
                  <w:pPr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sz w:val="24"/>
                      <w:szCs w:val="24"/>
                      <w:rtl w:val="0"/>
                    </w:rPr>
                    <w:t xml:space="preserve">Encuentro 4</w:t>
                  </w:r>
                </w:p>
              </w:tc>
              <w:tc>
                <w:tcPr/>
                <w:p w:rsidR="00000000" w:rsidDel="00000000" w:rsidP="00000000" w:rsidRDefault="00000000" w:rsidRPr="00000000" w14:paraId="000000FD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Informes Técnicos y Peritajes</w:t>
                  </w:r>
                </w:p>
                <w:p w:rsidR="00000000" w:rsidDel="00000000" w:rsidP="00000000" w:rsidRDefault="00000000" w:rsidRPr="00000000" w14:paraId="000000FE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FF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00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01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02">
                  <w:pPr>
                    <w:ind w:hanging="2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Gestión, Certificación y Evaluación Final</w:t>
                  </w:r>
                </w:p>
              </w:tc>
              <w:tc>
                <w:tcPr/>
                <w:p w:rsidR="00000000" w:rsidDel="00000000" w:rsidP="00000000" w:rsidRDefault="00000000" w:rsidRPr="00000000" w14:paraId="00000103">
                  <w:pPr>
                    <w:spacing w:line="360" w:lineRule="auto"/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Elaboración individual de un informe técnico basado en un caso de estudio disponible en la web y/o provisto por el taller.</w:t>
                  </w:r>
                </w:p>
                <w:p w:rsidR="00000000" w:rsidDel="00000000" w:rsidP="00000000" w:rsidRDefault="00000000" w:rsidRPr="00000000" w14:paraId="00000104">
                  <w:pPr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sz w:val="24"/>
                      <w:szCs w:val="24"/>
                      <w:rtl w:val="0"/>
                    </w:rPr>
                    <w:t xml:space="preserve">Entrega y exposición oral del informe técnico integrador</w:t>
                  </w:r>
                </w:p>
              </w:tc>
              <w:tc>
                <w:tcPr/>
                <w:p w:rsidR="00000000" w:rsidDel="00000000" w:rsidP="00000000" w:rsidRDefault="00000000" w:rsidRPr="00000000" w14:paraId="00000105">
                  <w:pPr>
                    <w:ind w:hanging="2"/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sz w:val="24"/>
                      <w:szCs w:val="24"/>
                      <w:rtl w:val="0"/>
                    </w:rPr>
                    <w:t xml:space="preserve">Cuestionario de Moodle</w:t>
                  </w:r>
                </w:p>
                <w:p w:rsidR="00000000" w:rsidDel="00000000" w:rsidP="00000000" w:rsidRDefault="00000000" w:rsidRPr="00000000" w14:paraId="00000106">
                  <w:pPr>
                    <w:ind w:hanging="2"/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07">
                  <w:pPr>
                    <w:ind w:hanging="2"/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08">
                  <w:pPr>
                    <w:ind w:hanging="2"/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09">
                  <w:pPr>
                    <w:ind w:hanging="2"/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sz w:val="24"/>
                      <w:szCs w:val="24"/>
                      <w:rtl w:val="0"/>
                    </w:rPr>
                    <w:t xml:space="preserve">Cuestionario de Moodle</w:t>
                  </w:r>
                </w:p>
                <w:p w:rsidR="00000000" w:rsidDel="00000000" w:rsidP="00000000" w:rsidRDefault="00000000" w:rsidRPr="00000000" w14:paraId="0000010A">
                  <w:pPr>
                    <w:ind w:hanging="2"/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0B">
                  <w:pPr>
                    <w:ind w:hanging="2"/>
                    <w:rPr>
                      <w:rFonts w:ascii="Arial Narrow" w:cs="Arial Narrow" w:eastAsia="Arial Narrow" w:hAnsi="Arial Narrow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sz w:val="24"/>
                      <w:szCs w:val="24"/>
                      <w:rtl w:val="0"/>
                    </w:rPr>
                    <w:t xml:space="preserve">Entrega de informe técnico integrador</w:t>
                  </w:r>
                </w:p>
              </w:tc>
            </w:tr>
          </w:tbl>
          <w:p w:rsidR="00000000" w:rsidDel="00000000" w:rsidP="00000000" w:rsidRDefault="00000000" w:rsidRPr="00000000" w14:paraId="0000010C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D">
      <w:pPr>
        <w:widowControl w:val="0"/>
        <w:spacing w:after="0" w:line="200" w:lineRule="auto"/>
        <w:rPr>
          <w:rFonts w:ascii="Arial" w:cs="Arial" w:eastAsia="Arial" w:hAnsi="Arial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widowControl w:val="0"/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widowControl w:val="0"/>
        <w:spacing w:after="0" w:line="24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widowControl w:val="0"/>
        <w:spacing w:after="0" w:line="24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widowControl w:val="0"/>
        <w:spacing w:after="0" w:line="24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2499995</wp:posOffset>
            </wp:positionH>
            <wp:positionV relativeFrom="paragraph">
              <wp:posOffset>31115</wp:posOffset>
            </wp:positionV>
            <wp:extent cx="1405255" cy="638175"/>
            <wp:effectExtent b="0" l="0" r="0" t="0"/>
            <wp:wrapSquare wrapText="bothSides" distB="0" distT="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5255" cy="638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12">
      <w:pPr>
        <w:widowControl w:val="0"/>
        <w:spacing w:after="0" w:line="24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2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2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2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Dra. Fiorella Campo Verde Arbocco</w:t>
      </w:r>
    </w:p>
    <w:p w:rsidR="00000000" w:rsidDel="00000000" w:rsidP="00000000" w:rsidRDefault="00000000" w:rsidRPr="00000000" w14:paraId="00000116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2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Y ACLARACIÓN</w:t>
      </w:r>
    </w:p>
    <w:p w:rsidR="00000000" w:rsidDel="00000000" w:rsidP="00000000" w:rsidRDefault="00000000" w:rsidRPr="00000000" w14:paraId="00000117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PROFESOR RESPONSABLE DEL ESPACIO CURRICULAR</w:t>
      </w:r>
    </w:p>
    <w:p w:rsidR="00000000" w:rsidDel="00000000" w:rsidP="00000000" w:rsidRDefault="00000000" w:rsidRPr="00000000" w14:paraId="00000118">
      <w:pPr>
        <w:widowControl w:val="0"/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widowControl w:val="0"/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widowControl w:val="0"/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1"/>
        <w:widowControl w:val="0"/>
        <w:spacing w:after="0" w:before="120" w:line="240" w:lineRule="auto"/>
        <w:jc w:val="right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footerReference r:id="rId10" w:type="even"/>
      <w:pgSz w:h="16837" w:w="11905" w:orient="portrait"/>
      <w:pgMar w:bottom="1134" w:top="2268" w:left="1418" w:right="1418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ourier New" w:cs="Courier New" w:eastAsia="Courier New" w:hAnsi="Courier New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ourier New" w:cs="Courier New" w:eastAsia="Courier New" w:hAnsi="Courier New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360"/>
      <w:jc w:val="left"/>
      <w:rPr>
        <w:rFonts w:ascii="Courier New" w:cs="Courier New" w:eastAsia="Courier New" w:hAnsi="Courier New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0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Padre Jorge Contreras 1300, Parque General San Martín, Mendoza C.P. 5500</w:t>
    </w:r>
  </w:p>
  <w:p w:rsidR="00000000" w:rsidDel="00000000" w:rsidP="00000000" w:rsidRDefault="00000000" w:rsidRPr="00000000" w14:paraId="00000121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Teléfonos </w:t>
    </w:r>
    <w:r w:rsidDel="00000000" w:rsidR="00000000" w:rsidRPr="00000000">
      <w:rPr>
        <w:b w:val="1"/>
        <w:bCs w:val="1"/>
        <w:sz w:val="16"/>
        <w:szCs w:val="16"/>
        <w:rtl w:val="0"/>
      </w:rPr>
      <w:t xml:space="preserve">+54-0261-4236003</w:t>
    </w:r>
    <w:r w:rsidDel="00000000" w:rsidR="00000000" w:rsidRPr="00000000">
      <w:rPr>
        <w:sz w:val="16"/>
        <w:szCs w:val="16"/>
        <w:rtl w:val="0"/>
      </w:rPr>
      <w:t xml:space="preserve"> /</w:t>
    </w:r>
    <w:r w:rsidDel="00000000" w:rsidR="00000000" w:rsidRPr="00000000">
      <w:rPr>
        <w:b w:val="1"/>
        <w:bCs w:val="1"/>
        <w:sz w:val="16"/>
        <w:szCs w:val="16"/>
        <w:rtl w:val="0"/>
      </w:rPr>
      <w:t xml:space="preserve"> 4290824</w:t>
    </w:r>
    <w:r w:rsidDel="00000000" w:rsidR="00000000" w:rsidRPr="00000000">
      <w:rPr>
        <w:sz w:val="18"/>
        <w:szCs w:val="18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65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1"/>
        <w:iCs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-67944</wp:posOffset>
          </wp:positionH>
          <wp:positionV relativeFrom="paragraph">
            <wp:posOffset>-540384</wp:posOffset>
          </wp:positionV>
          <wp:extent cx="5893435" cy="14325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9036" r="12218" t="0"/>
                  <a:stretch>
                    <a:fillRect/>
                  </a:stretch>
                </pic:blipFill>
                <pic:spPr>
                  <a:xfrm>
                    <a:off x="0" y="0"/>
                    <a:ext cx="5893435" cy="14325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RPNd/rtB/Qo02NydL1DM9WEUoQ==">CgMxLjAyD2lkLmU2YTNiNGRxMTR6NzIPaWQueTdhYTVsdW56NXZ5OAByITFzalozdUo0TUlrTnFWMmVfbWdXVHNlRTdHRHdZS1ljRA==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